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6F_27/2024 vom 15. Januar 2025</w:t>
      </w:r>
    </w:p>
    <w:p>
      <w:r>
        <w:t>Bundesgericht, 2025-01-15, FR</w:t>
      </w:r>
    </w:p>
    <w:p>
      <w:r>
        <w:rPr>
          <w:b/>
        </w:rPr>
        <w:t xml:space="preserve">Quelle: </w:t>
      </w:r>
      <w:r>
        <w:t>https://mcp.opencaselaw.ch/entscheid/bger_6F_27_2024</w:t>
      </w:r>
    </w:p>
    <w:p>
      <w:r>
        <w:t>FR: TF 6F_27/2024 du 15 janvier 2025</w:t>
      </w:r>
    </w:p>
    <w:p>
      <w:r>
        <w:t>IT: TF 6F_27/2024 del 15 gennaio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révision des arrêts du Tribunal fédéral ne peut être requise que pour l'un des motifs énoncés de manière exhaustive aux art. 121 à 123 LTF ( ATF 147 III 238 consid. 1.1).</w:t>
      </w:r>
    </w:p>
    <w:p>
      <w:r>
        <w:rPr>
          <w:b/>
        </w:rPr>
        <w:t>E. 2</w:t>
      </w:r>
    </w:p>
    <w:p>
      <w:r>
        <w:t>Le requérant invoque le réexamen de sa cause en évoquant de façon explicite l' art. 123 al. 2 let. b LTF .</w:t>
      </w:r>
    </w:p>
    <w:p>
      <w:r>
        <w:t>Il convient à cet égard de renvoyer intégralement aux considérants 2.1 à 2.3 de l'arrêt du 14 novembre dernier (6F_24/2024) concernant en particulier la jurisprudence relative à la disposition désormais évoquée explicitement par le recourant et les exigences de motivation déduites de l' art. 42 LTF , également applicable en matière de révision.</w:t>
      </w:r>
    </w:p>
    <w:p>
      <w:r>
        <w:t>À la lumière des éléments déjà exposés dans l'arrêt précité, la présente demande de révision ne peut qu'être à nouveau déclarée irrecevable, par identité de motifs.</w:t>
      </w:r>
    </w:p>
    <w:p>
      <w:r>
        <w:t>On rappellera en particulier que l'arrêt auquel se rapporte la présente, comme la précédente demande de révision (6B_590/2023), ne comporte pas de rectification ou de complément d'état de fait en application de l' art. 105 al. 2 LTF . L' art. 123 al. 2 let. b LTF en lien avec l' art. 410 al. 1 let. a CPP n'entre donc pas en ligne de compte. Encore peut-on préciser que le requérant n'évoque aucun motif de révision contre l'arrêt du 14 novembre 2024 (6F_24/2024) lui-même.</w:t>
      </w:r>
    </w:p>
    <w:p>
      <w:r>
        <w:rPr>
          <w:b/>
        </w:rPr>
        <w:t>E. 3</w:t>
      </w:r>
    </w:p>
    <w:p>
      <w:r>
        <w:t>Au vu de ce qui précède, la demande de révision doit être déclarée irrecevable.</w:t>
      </w:r>
    </w:p>
    <w:p>
      <w:r>
        <w:t>Il peut exceptionnellement être statué sans frais (cf. art. 65 al. 2 et 66 al. 1 LTF).</w:t>
      </w:r>
    </w:p>
    <w:p>
      <w:r>
        <w:t>La cause étant tranchée, la demande de suspension de peine et celle de suspension de la mesure d'expulsion deviennent sans objet.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