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6F_23/2013 vom 6. Februar 2014</w:t>
      </w:r>
    </w:p>
    <w:p>
      <w:r>
        <w:t>Bundesgericht, 2014-02-06, FR</w:t>
      </w:r>
    </w:p>
    <w:p>
      <w:r>
        <w:rPr>
          <w:b/>
        </w:rPr>
        <w:t xml:space="preserve">Quelle: </w:t>
      </w:r>
      <w:r>
        <w:t>https://mcp.opencaselaw.ch/entscheid/bger_6F_23_2013</w:t>
      </w:r>
    </w:p>
    <w:p>
      <w:r>
        <w:t>FR: TF 6F_23/2013 du 6 février 2014</w:t>
      </w:r>
    </w:p>
    <w:p>
      <w:r>
        <w:t>IT: TF 6F_23/2013 del 6 febbraio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6B_47/2013 du 14 novembre 2013, le Tribunal fédéral a déclaré irrecevable le recours de X.________ contre l'arrêt de la Chambre pénale du Tribunal cantonal de l'Etat de Fribourg du 28 novembre 2012. X.________ dépose une demande de révision de l'arrêt du Tribunal fédéral.</w:t>
      </w:r>
    </w:p>
    <w:p>
      <w:r>
        <w:t>La révision d'un arrêt du Tribunal fédéral peut être demandée si les dispositions concernant la composition du tribunal ou la récusation n'ont pas été observées ( art. 121 let. a LTF ), si le tribunal a accordé à une partie soit plus ou, sans que la loi ne le permette, autre chose que ce qu'elle a demandé, soit moins que ce que la partie adverse a reconnu devoir ( art. 121 let. b LTF ), si le tribunal n'a pas statué sur certaines conclusions ( art. 121 let . c LTF), si, par inadvertance, le tribunal n'a pas pris en considération des faits pertinents qui ressortent du dossier ( art. 121 let . d LTF), lorsque la Cour européenne des droits de l'homme a constaté, dans un arrêt définitif, une violation de la CEDH ou de ses protocoles ( art. 122 LTF ), lorsqu'une procédure pénale établit que l'arrêt a été influencé au préjudice du requérant par un crime ou un délit, même si aucune condamnation n'est intervenue ( art. 123 al. 1 LTF ), s'il existe des faits ou des moyens de preuves qui étaient inconnus de l'autorité inférieure et qui sont de nature à motiver l'acquittement ou une condamnation sensiblement moins sévère ou plus sévère du condamné ou encore la condamnation de la personne acquittée ( art. 123 al. 2 let. b LTF en rel. avec l' art. 410 al. 1 let. a CPP ) ou si la décision est en contradiction flagrante avec une décision pénale rendue postérieurement sur les mêmes faits ( art. 123 al. 2 let. b LTF en rel. avec l' art. 410 al. 1 let. b CPP ).</w:t>
      </w:r>
    </w:p>
    <w:p>
      <w:r>
        <w:t>Invoquant la violation de l' art. 385 al. 2 CPP et de son droit d'être entendu, le requérant reproche à la Chambre pénale fribourgeoise d'avoir déclaré son recours du 20 décembre 2012 irrecevable à défaut d'une motivation suffisante, sans lui avoir préalablement donné l'occasion de compléter son écriture. Il conclut à l'annulation de l'arrêt cantonal du 28 novembre 2012. Reprenant les mêmes griefs qu'il oppose au Tribunal fédéral, il réclame également l'annulation de l'arrêt 6B_47/2013 du 14 novembre 2013. Se prévalant d'un intérêt digne de protection, il critique par ailleurs la négation de sa qualité pour recourir au Tribunal fédéral.</w:t>
      </w:r>
    </w:p>
    <w:p>
      <w:r>
        <w:t>Cela étant, on cherche en vain, dans la présente demande de révision, l'indication de l'un des motifs de révision énumérés aux art. 121 à 123 LTF. Dès lors que le requérant n'invoque aucun argument constitutif d'un motif de révision à l'encontre de l'arrêt 6B_47/2013 du 14 novembre 2013, sa demande ne répond pas aux exigences de motivation, de sorte qu'elle doit être déclarée irrecevable.</w:t>
      </w:r>
    </w:p>
    <w:p>
      <w:r>
        <w:rPr>
          <w:b/>
        </w:rPr>
        <w:t>E. 2</w:t>
      </w:r>
    </w:p>
    <w:p>
      <w:r>
        <w:t>Le requérant, qui succombe, supporte les frais de justice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