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6F_19/2012 vom 21. Dezember 2012</w:t>
      </w:r>
    </w:p>
    <w:p>
      <w:r>
        <w:t>Bundesgericht, 2012-12-21, DE</w:t>
      </w:r>
    </w:p>
    <w:p>
      <w:r>
        <w:rPr>
          <w:b/>
        </w:rPr>
        <w:t xml:space="preserve">Quelle: </w:t>
      </w:r>
      <w:r>
        <w:t>https://mcp.opencaselaw.ch/entscheid/bger_6F_19_2012</w:t>
      </w:r>
    </w:p>
    <w:p>
      <w:r>
        <w:t>FR: TF 6F_19/2012 du 21 décembre 2012</w:t>
      </w:r>
    </w:p>
    <w:p>
      <w:r>
        <w:t>IT: TF 6F_19/2012 del 21 dicembre 2012</w:t>
      </w:r>
    </w:p>
    <w:p>
      <w:pPr>
        <w:pStyle w:val="Heading2"/>
      </w:pPr>
      <w:r>
        <w:t>Erwägungen</w:t>
      </w:r>
    </w:p>
    <w:p>
      <w:r>
        <w:rPr>
          <w:b/>
        </w:rPr>
        <w:t>E. 1.1</w:t>
      </w:r>
    </w:p>
    <w:p>
      <w:r>
        <w:t>Der Gesuchsteller macht geltend, die Vorinstanz und das Bundesgericht hätten den Sachverhalt mehrfach unrichtig festgestellt. Er habe seine Geschwindigkeit nicht nur wegen Glatteis, sondern aufgrund der geänderten Signalisation reduziert. Seine Notwehrlage werde durch die Aussage des unabhängigen Zeugen A.________ bestätigt. Der Vorwurf der vorsätzlichen Tötungsabsicht sei keinesfalls berechtigt. Das Bundesgericht habe auch falsche Feststellungen zu seiner Kleidung im Tatzeitpunkt, zur Zahl der Einstiche und zu den dem Opfer angeblich zugefügten Verletzungen gemacht. Aufgrund der schlechten Lichtverhältnisse, seiner Windjacke und der Tatsache, dass er sich mit erhobenen Armen auf das Opfer zubewegt habe, habe A.________ seine Statur unrichtig wahrgenommen (Gesuch, S. 1 f.; ergänzende Ausführungen vom 11. November 2012, S. 1).</w:t>
      </w:r>
    </w:p>
    <w:p>
      <w:r>
        <w:t>Der Gesuchsteller bringt weiter vor, dass das von ihm verwendete stumpfe Pfadimesser und der längst abgelaufene Pfefferspray aus dem Jahre 1990 keine Waffen gemäss Waffengesetz seien. Es sei willkürlich, wenn die Vorinstanz und das Bundesgericht von einem Dolch statt einem Pfadimesser ausgingen. Er habe sich nach der 25 Minuten dauernden wilden Verfolgungsjagd über die Landesgrenze bedroht gefühlt und mit der Attacke zweier Männer rechnen müssen. Er sei daher berechtigt gewesen, sich zu verteidigen (ergänzende Ausführungen vom 11. November 2012, S. 2).</w:t>
      </w:r>
    </w:p>
    <w:p>
      <w:r>
        <w:rPr>
          <w:b/>
        </w:rPr>
        <w:t>E. 1.2</w:t>
      </w:r>
    </w:p>
    <w:p>
      <w:r>
        <w:t>Gemäss Art. 121 BGG kann die Revision eines Entscheids verlangt werden, wenn die Vorschriften über die Besetzung des Gerichts oder über den Ausstand verletzt worden sind (lit. a); das Gericht einer Partei mehr oder, ohne dass das Gesetz es erlaubt, anderes zugesprochen hat, als sie selbst verlangt hat, oder weniger als die Gegenpartei anerkannt hat (lit. b); einzelne Anträge unbeurteilt geblieben sind (lit. c); das Gericht in den Akten liegende erhebliche Tatsachen aus Versehen nicht berücksichtigt hat (lit. d).</w:t>
      </w:r>
    </w:p>
    <w:p>
      <w:r>
        <w:rPr>
          <w:b/>
        </w:rPr>
        <w:t>E. 1.3</w:t>
      </w:r>
    </w:p>
    <w:p>
      <w:r>
        <w:t>Der Gesuchsteller legt ausschliesslich seine eigene Sicht der Dinge dar und wirft der Vorinstanz sowie dem Bundesgericht eine willkürliche Sachverhaltsfeststellung vor. Eine abweichende Meinung über tatsächliche oder rechtliche Fragen stellt indessen keinen Revisionsgrund dar.</w:t>
      </w:r>
    </w:p>
    <w:p>
      <w:r>
        <w:rPr>
          <w:b/>
        </w:rPr>
        <w:t>E. 2</w:t>
      </w:r>
    </w:p>
    <w:p>
      <w:r>
        <w:t>Das Revisionsgesuch ist abzuweisen, soweit darauf einzutreten ist. Bei diesem Verfahrensausgang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