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17/2011 vom 12. Dezember 2011</w:t>
      </w:r>
    </w:p>
    <w:p>
      <w:r>
        <w:t>Bundesgericht, 2011-12-12, DE</w:t>
      </w:r>
    </w:p>
    <w:p>
      <w:r>
        <w:rPr>
          <w:b/>
        </w:rPr>
        <w:t xml:space="preserve">Quelle: </w:t>
      </w:r>
      <w:r>
        <w:t>https://mcp.opencaselaw.ch/entscheid/bger_6F_17_2011</w:t>
      </w:r>
    </w:p>
    <w:p>
      <w:r>
        <w:t>FR: TF 6F 17/2011 du 12 décembre 2011</w:t>
      </w:r>
    </w:p>
    <w:p>
      <w:r>
        <w:t>IT: TF 6F 17/2011 del 12 dicembre 2011</w:t>
      </w:r>
    </w:p>
    <w:p>
      <w:pPr>
        <w:pStyle w:val="Heading2"/>
      </w:pPr>
      <w:r>
        <w:t>Regeste</w:t>
      </w:r>
    </w:p>
    <w:p>
      <w:r>
        <w:t>Gesuch um Revision des Urteils des Schweizerischen Bundesgerichts 6B_591/2010 vom 6. Oktober 2011 | Straftaten</w:t>
      </w:r>
    </w:p>
    <w:p>
      <w:pPr>
        <w:pStyle w:val="Heading2"/>
      </w:pPr>
      <w:r>
        <w:t>Erwägungen</w:t>
      </w:r>
    </w:p>
    <w:p>
      <w:r>
        <w:rPr>
          <w:b/>
        </w:rPr>
        <w:t>E. 1</w:t>
      </w:r>
    </w:p>
    <w:p>
      <w:r>
        <w:t>Das Bundesgericht trat mit Urteil 6B_591/2011 vom 6. Oktober 2011 auf eine Beschwerde der Gesuchsteller nicht ein, da die Eingabe den Begründungsanforderungen nicht genügte. Die Gesuchsteller ersuchen gestützt auf Art. 121 und 122 BGG um Revision des Urteils. Art. 122 BGG ist von vornherein nicht anwendbar, weil in der vorliegenden Angelegenheit kein Entscheid des Europäischen Gerichtshofes für Menschenrechte ergangen ist. Gemäss Art. 121 lit. a BGG kann die Revision eines bundesgerichtlichen Entscheids verlangt werden, wenn die Vorschriften über die Besetzung des Gerichts oder über den Ausstand verletzt wurden. Der Umstand, dass der Richter, der das Urteil 6B_591/2011 gefällt hat, Mitglied der SVP ist (Beschwerde S. 6), bildet indessen keinen Ausstandsgrund. Inwieweit er sich durch den Umstand, dass die Gesuchsteller Ausländer sind, hätte beeinflussen lassen, ist nicht ersichtlich. Worauf die von ihnen behauptete persönliche Feindschaft beruhen könnte, sagen sie nicht. Das Revisionsgesuch ist in diesem Punkt abzuweisen. Im Übrigen stellen unterschiedliche Rechtsauffassungen der Gesuchsteller und des Bundesgerichts keinen Revisionsgrund dar. Soweit die Beschwerdeführer dem Bundesgericht z.B. Willkür vorwerfen, ist darauf nicht einzutreten. Dasselbe gilt, soweit sie dem Bundesgericht eine Verletzung des rechtlichen Gehörs zur Last legen. Mit dem Entscheid in der Sache ist das Gesuch um aufschiebende Wirkung gegenstandslos geworden.</w:t>
      </w:r>
    </w:p>
    <w:p>
      <w:r>
        <w:rPr>
          <w:b/>
        </w:rPr>
        <w:t>E. 2</w:t>
      </w:r>
    </w:p>
    <w:p>
      <w:r>
        <w:t>Die Gerichtskosten sind den Gesuchstellern aufzuerlegen ( Art. 66 Abs. 1 BGG ). Das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