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16/2020 vom 3. Juni 2020</w:t>
      </w:r>
    </w:p>
    <w:p>
      <w:r>
        <w:t>Bundesgericht, 2020-06-03, FR</w:t>
      </w:r>
    </w:p>
    <w:p>
      <w:r>
        <w:rPr>
          <w:b/>
        </w:rPr>
        <w:t xml:space="preserve">Quelle: </w:t>
      </w:r>
      <w:r>
        <w:t>https://mcp.opencaselaw.ch/entscheid/bger_6F_16_2020</w:t>
      </w:r>
    </w:p>
    <w:p>
      <w:r>
        <w:t>FR: TF 6F 16/2020 du 3 juin 2020</w:t>
      </w:r>
    </w:p>
    <w:p>
      <w:r>
        <w:t>IT: TF 6F 16/2020 del 3 giugno 2020</w:t>
      </w:r>
    </w:p>
    <w:p>
      <w:pPr>
        <w:pStyle w:val="Heading2"/>
      </w:pPr>
      <w:r>
        <w:t>Regeste</w:t>
      </w:r>
    </w:p>
    <w:p>
      <w:r>
        <w:t>Demande de révision de l'arrêt du Tribunal fédéral suisse du 16 mars 2020 (6B_1296/2019) | Procédure pénale</w:t>
      </w:r>
    </w:p>
    <w:p>
      <w:pPr>
        <w:pStyle w:val="Heading2"/>
      </w:pPr>
      <w:r>
        <w:t>Erwägungen</w:t>
      </w:r>
    </w:p>
    <w:p>
      <w:r>
        <w:rPr>
          <w:b/>
        </w:rPr>
        <w:t>E. 1</w:t>
      </w:r>
    </w:p>
    <w:p>
      <w:r>
        <w:t>Le requérant prétend tout d'abord que l'arrêt du 16 mars 2020 devrait être révisé en raison de l'existence d'un fait nouveau.</w:t>
      </w:r>
    </w:p>
    <w:p>
      <w:r>
        <w:rPr>
          <w:b/>
        </w:rPr>
        <w:t>E. 1.1</w:t>
      </w:r>
    </w:p>
    <w:p>
      <w:r>
        <w:t>Aux termes de l' art. 123 al. 2 let. b LTF , la révision d'un arrêt du Tribunal fédéral peut être demandée dans les affaires pénales si les conditions fixées à l'art. 410 al. 1 let. a et b et 2 CPP sont remplies. L' art. 410 al. 1 let. a CPP ,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(cf. ATF 134 IV 48 consid. 1 p. 49 ss; arrêt 6F_1/2019 du 13 mai 2019 consid. 4 et les références citées).</w:t>
      </w:r>
    </w:p>
    <w:p>
      <w:r>
        <w:rPr>
          <w:b/>
        </w:rPr>
        <w:t>E. 1.2</w:t>
      </w:r>
    </w:p>
    <w:p>
      <w:r>
        <w:t>En l'espèce, à titre de fait nouveau, le requérant se prévaut d'un jugement de première instance du 11 octobre 2018, contre lequel avait été formé un appel, dont le retrait a été constaté par arrêt cantonal du 10 mars 2020. Il en déduit en substance - et pour autant que l'on comprenne son argumentation laborieuse - que ledit jugement serait désormais définitif et permettrait de conclure que les propos tenus à l'encontre de B.________ n'auraient pas servi un dessein malin, car il aurait lui-même agi par désarroi face au "blocage" de la justice et de décisions constitutives d'erreurs judiciaires. Or, dans l'arrêt du 16 mars 2020, le Tribunal fédéral n'a pas complété ni rectifié les faits établis par la juridiction cantonale s'agissant de l'intention qui avait animé le requérant. Il a au contraire indiqué que le requérant n'avait pas démontré que les constatations de la cour cantonale auraient été insoutenables sur ce point (cf. consid. 6.4.3). Le fait nouveau invoqué, qui ne concerne pas la recevabilité du recours en matière pénale mais le fond de la cause 6B_1296/2019, est donc irrecevable en instance fédérale. Au demeurant, dans son arrêt du 26 septembre 2019, la cour cantonale avait, sans arbitraire, constaté que le requérant avait agi dans le but de dire du mal de B.________, compte tenu notamment de la nature des termes employés pour décrire les agissements prêtés à ce dernier. On voit mal comment le jugement de première instance du 11 octobre 2018, dont se prévaut le requérant - à supposer encore qu'il puisse désormais fonder un fait nouveau -, pourrait faire apparaître cette constatation comme insoutenable, puisque la décision en question - si elle s'inscrivait dans la même affaire - ne concernait pas B.________ et ne portait pas sur des propos diffamatoires identiques (cf. jugement du 11 octobre 2018, p. 12 ss).</w:t>
      </w:r>
    </w:p>
    <w:p>
      <w:r>
        <w:rPr>
          <w:b/>
        </w:rPr>
        <w:t>E. 2</w:t>
      </w:r>
    </w:p>
    <w:p>
      <w:r>
        <w:t>Le requérant invoque encore le motif de révision prévu par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6F_13/2020 du 24 avril 2020 consid. 1.1; 6F_5/2019 du 9 avril 2019 consid. 1.1). En outre, ce motif de révision ne peut être invoqué que si les faits qui n'ont pas été pris en considération sont "importants" : il doit s'agir de faits pertinents, susceptibles d'entraîner une décision différente de celle qui a été prise et plus favorable au requérant ( ATF 122 II 17 consid. 3 p. 18; arrêt 6F_13/2020 précité consid. 1.1).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6F_13/2020 précité consid. 1.1; 2F_21/2019 du 7 février 2020; 6F_5/2019 précité consid. 1.1).</w:t>
      </w:r>
    </w:p>
    <w:p>
      <w:r>
        <w:rPr>
          <w:b/>
        </w:rPr>
        <w:t>E. 2.2</w:t>
      </w:r>
    </w:p>
    <w:p>
      <w:r>
        <w:t>Perdant de vue les exigences strictes qui encadrent la révision d'un arrêt du Tribunal fédéral fondée sur l' art. 121 let . d LTF, le requérant s'adonne à un exercice de rediscussion libre de l'affaire, en se référant à d'innombrables pièces du dossier. Il ne met pas en évidence une pièce déterminée qui aurait pu être mal lue ou ignorée par le Tribunal fédéral, mais livre sa propre appréciation des faits de la cause. Or, l'arrêt du 16 mars 2020 se fondait sur l'état de fait de la cour cantonale, qui a été critiqué en divers points par le requérant mais dont l'arbitraire n'a pas été démontré. L'intéressé ne peut désormais, dans le cadre d'une procédure de révision, répéter ou reformuler ses griefs relatifs à cet état de fait afin d'amener le Tribunal fédéral à reconsidérer sa position. En particulier, dans l'arrêt du 16 mars 2020, le Tribunal fédéral a indiqué qu'il n'avait pas été arbitrairement constaté que le requérant eût agi dans le but de dire du mal de B.________, ce qui ressortait notamment de la chronologie des événements et des termes employés. Sur ce point, on ne perçoit pas quel élément aurait précisément pu être omis, par inadvertance, par le Tribunal fédéral dans son examen des griefs concernés. Le requérant se réfère quant à lui à une kyrielle de pièces, de témoignages ou de décisions - la plupart du temps sans renvoyer à des pièces du dossier -, afin de rediscuter intégralement le déroulement de son affaire. Il appartenait pourtant au requérant de faire valoir ces éléments, par le biais d'un grief recevable, dans le cadre de son recours contre l'arrêt du 26 septembre 2019. Il en va de même dans la mesure où le requérant revient sur les procédures prud'homales qu'il a conduites, puisque celui-ci critique en définitive, sur ce point, l'état de fait de la cour cantonale - sur lequel s'est fondé le Tribunal fédéral dans son arrêt du 16 mars 2020 puisque l'arbitraire n'en a pas été démontré -, sans identifier une pièce ou un élément qui aurait été ignoré pas inadvertance. Le requérant évoque par ailleurs de nombreuses pièces, en précisant que celles-ci n'auraient jamais été examinées par une autorité pénale. Or, il appartenait au requérant de faire valoir celles-ci dans le cadre d'un grief d'arbitraire recevable dirigé contre l'arrêt du 26 septembre 2019. L'intéressé ne saurait reprocher au Tribunal fédéral de ne pas avoir lui-même procédé, pour rendre son arrêt du 16 mars 2020, à une libre appréciation des preuves et à son propre établissement des faits en examinant l'intégralité du dossier cantonal, ce qui était proscrit par le droit fédéral (cf. art. 105 al. 1 LTF ). S'agissant enfin de la date à laquelle B.________ a eu connaissance du courrier du 5 juin 2014, point qui avait déjà fait l'objet d'un grief d'arbitraire infructueux dans l'arrêt du 16 mars 2020, le requérant ne met pas davantage en évidence un élément spécifique qui aurait pu être ignoré par inadvertance par le Tribunal fédéral, mais rediscute l'établissement des faits en se référant à "l'expérience commune ou des choses de la vie". C'est donc en vain que l'on cherche, dans la demande du requérant, la démonstration que le Tribunal fédéral aurait, par inadvertance, omis de prendreen considération des faits pertinents ressortant du dossier.</w:t>
      </w:r>
    </w:p>
    <w:p>
      <w:r>
        <w:rPr>
          <w:b/>
        </w:rPr>
        <w:t>E. 3</w:t>
      </w:r>
    </w:p>
    <w:p>
      <w:r>
        <w:t>La demande de révision doit être rejetée dans la mesure où elle est recevable. Le requérant, qui succombe, supporte les frais de la procédure de révision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