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6F_15/2023 vom 28. Juni 2023</w:t>
      </w:r>
    </w:p>
    <w:p>
      <w:r>
        <w:t>Bundesgericht, 2023-06-28, FR</w:t>
      </w:r>
    </w:p>
    <w:p>
      <w:r>
        <w:rPr>
          <w:b/>
        </w:rPr>
        <w:t xml:space="preserve">Quelle: </w:t>
      </w:r>
      <w:r>
        <w:t>https://mcp.opencaselaw.ch/entscheid/bger_6F_15_2023</w:t>
      </w:r>
    </w:p>
    <w:p>
      <w:r>
        <w:t>FR: TF 6F_15/2023 du 28 juin 2023</w:t>
      </w:r>
    </w:p>
    <w:p>
      <w:r>
        <w:t>IT: TF 6F_15/2023 del 28 giugno 2023</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w:t>
      </w:r>
    </w:p>
    <w:p>
      <w:r>
        <w:t>A teneur de l' art. 42 LTF , qui s'applique également en matière de révision (cf. parmi d'autres: arrêt 6F_13/2021 du 9 mars 2023 consid. 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(cf. arrêt arrêt 6F_13/2021 précité consid. 1).</w:t>
      </w:r>
    </w:p>
    <w:p>
      <w:r>
        <w:rPr>
          <w:b/>
        </w:rPr>
        <w:t>E. 2</w:t>
      </w:r>
    </w:p>
    <w:p>
      <w:r>
        <w:t>En l'espèce, le recourant revient dans son mémoire sur différents éléments ayant trait à la cause au fond, mais la discussion qu'il esquisse ne comporte cependant aucun développement spécifiquement destiné à exposer, conformément aux exigences de motivation fixées en la matière, en quoi un motif de révision serait en l'espèce réalisé. On ne discerne, en d'autres termes, aucun moyen susceptible de conduire à la révision d'un arrêt du Tribunal fédéral dans l'écriture du recourant.</w:t>
      </w:r>
    </w:p>
    <w:p>
      <w:r>
        <w:rPr>
          <w:b/>
        </w:rPr>
        <w:t>E. 3</w:t>
      </w:r>
    </w:p>
    <w:p>
      <w:r>
        <w:t>Compte de tenu de ce qui précède, faute de toute motivation pertinente, la demande de révision est irrecevable.</w:t>
      </w:r>
    </w:p>
    <w:p>
      <w:r>
        <w:t>Le demandeur en révision, qui succombe, supporte les frais judiciaires, réduits vu l'ampleur de la cause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