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6F_14/2023 vom 28. Juni 2023</w:t>
      </w:r>
    </w:p>
    <w:p>
      <w:r>
        <w:t>Bundesgericht, 2023-06-28, FR</w:t>
      </w:r>
    </w:p>
    <w:p>
      <w:r>
        <w:rPr>
          <w:b/>
        </w:rPr>
        <w:t xml:space="preserve">Quelle: </w:t>
      </w:r>
      <w:r>
        <w:t>https://mcp.opencaselaw.ch/entscheid/bger_6F_14_2023</w:t>
      </w:r>
    </w:p>
    <w:p>
      <w:r>
        <w:t>FR: TF 6F_14/2023 du 28 juin 2023</w:t>
      </w:r>
    </w:p>
    <w:p>
      <w:r>
        <w:t>IT: TF 6F_14/2023 del 28 giugno 2023</w:t>
      </w:r>
    </w:p>
    <w:p>
      <w:pPr>
        <w:pStyle w:val="Heading2"/>
      </w:pPr>
      <w:r>
        <w:t>Erwägungen</w:t>
      </w:r>
    </w:p>
    <w:p>
      <w:r>
        <w:rPr>
          <w:b/>
        </w:rPr>
        <w:t>E. 1</w:t>
      </w:r>
    </w:p>
    <w:p>
      <w:r>
        <w:t>Conformément à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 Dans le premier cas, la demande de révision doit être déposée devant le Tribunal fédéral dans les 30 jours qui suivent la découverte du motif de récusation ( art. 124 al. 1 let. a LTF ), dans les autres cas visés par l' art. 121 LTF , dans les 30 jours qui suivent la notification de l'expédition complète de l'arrêt ( art. 124 al. 1 let. b LTF ).</w:t>
      </w:r>
    </w:p>
    <w:p>
      <w:r>
        <w:t>A teneur de l' art. 42 LTF , qui s'applique également en matière de révision (cf. parmi d'autres: arrêt 6F_13/2021 du 9 mars 2023 consid. 1 et les arrêts cités), la motivation d'une telle demande doit permettre de comprendre en quoi serait réalisé l'un des motifs de révision prévus par les art. 121 ss LTF . Il incombe ainsi au requérant de mentionner le motif de révision dont il se prévaut et d'expliquer en quoi ce motif serait réalisé, sous peine de voir sa demande déclarée irrecevable (cf. arrêt arrêt 6F_13/2021 précité consid. 1).</w:t>
      </w:r>
    </w:p>
    <w:p>
      <w:r>
        <w:rPr>
          <w:b/>
        </w:rPr>
        <w:t>E. 2</w:t>
      </w:r>
    </w:p>
    <w:p>
      <w:r>
        <w:t>En l'espèce, l'écriture du recourant, qui s'avère difficilement intelligible, ne comporte aucune motivation topique, conforme aux exigences en la matière, tendant à démontrer en quoi un motif de révision serait en l'espèce réalisé. Il ne ressort ainsi de la demande présentée aucun moyen susceptible de conduire à la révision d'un arrêt du Tribunal fédéral.</w:t>
      </w:r>
    </w:p>
    <w:p>
      <w:r>
        <w:rPr>
          <w:b/>
        </w:rPr>
        <w:t>E. 3</w:t>
      </w:r>
    </w:p>
    <w:p>
      <w:r>
        <w:t>Au vu de ce qui précède, faute de toute motivation pertinente, la demande de révision est irrecevable.</w:t>
      </w:r>
    </w:p>
    <w:p>
      <w:r>
        <w:t>Le demandeur en révision, qui succombe, supporte les frais judiciaires, fixés en tenant compte de sa situation et réduits vu l'ampleur de la cause (art. 65 al. 2 et 66 al. 1 LTF).</w:t>
      </w:r>
    </w:p>
    <w:p>
      <w:r>
        <w:t>Le demandeur en révision est informé que de nouvelles demandes du même ordre, portant sur le présent arrêt ou l'arrêt 6B_349/2023, seront purement et simplement classées sans suite et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