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9/2010 vom 26. Februar 2010</w:t>
      </w:r>
    </w:p>
    <w:p>
      <w:r>
        <w:t>Bundesgericht, 2010-02-26, IT</w:t>
      </w:r>
    </w:p>
    <w:p>
      <w:r>
        <w:rPr>
          <w:b/>
        </w:rPr>
        <w:t xml:space="preserve">Quelle: </w:t>
      </w:r>
      <w:r>
        <w:t>https://mcp.opencaselaw.ch/entscheid/bger_6B_9_2010</w:t>
      </w:r>
    </w:p>
    <w:p>
      <w:r>
        <w:t>FR: TF 6B 9/2010 du 26 février 2010</w:t>
      </w:r>
    </w:p>
    <w:p>
      <w:r>
        <w:t>IT: TF 6B 9/2010 del 26 febbraio 2010</w:t>
      </w:r>
    </w:p>
    <w:p>
      <w:pPr>
        <w:pStyle w:val="Heading2"/>
      </w:pPr>
      <w:r>
        <w:t>Regeste</w:t>
      </w:r>
    </w:p>
    <w:p>
      <w:r>
        <w:t>Decreto di non luogo a procedere | Diritto penale (in generale)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Entro trenta giorni dalla notifica del loro testo integrale ( art. 100 cpv. 1 LTF ), le decisioni delle autorità cantonali di ultima istanza e le decisioni del Tribunale penale federale ( art. 80 cpv. 1 LTF ) possono essere impugnate dinanzi al Tribunale federale con ricorso in materia penale. Questo rimedio giuridico può essere presentato per violazione del diritto svizzero ai sensi dell' art. 95 LTF . Giusta l' art. 42 cpv. 1 e 2 LTF , il ricorso deve contenere le conclusioni e i motivi in cui occorre spiegare in modo conciso perché l'atto impugnato viola il diritto. Il ricorrente deve quindi confrontarsi almeno concisamente con i considerandi del giudizio impugnato, esponendo in quale misura sarebbe lesivo del diritto federale (v. DTF 134 II 244 consid. 2.1 e 2.3).</w:t>
      </w:r>
    </w:p>
    <w:p>
      <w:r>
        <w:rPr>
          <w:b/>
        </w:rPr>
        <w:t>E. 1.2</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il gravame è inammissibile.</w:t>
      </w:r>
    </w:p>
    <w:p>
      <w:r>
        <w:rPr>
          <w:b/>
        </w:rPr>
        <w:t>E. 1.3</w:t>
      </w:r>
    </w:p>
    <w:p>
      <w:r>
        <w:t>Nella fattispecie l'impugnativa in esame sfugge a un esame di merito perché inammissibile. Il ricorrente si dilunga infatti nella narrazione della cronistoria delle anomalie riscontrate nell'ambito informatico e non, nonché nella critica delle attività della polizia e del magistrato inquirente. In sostanza, egli contesta "l'intero procedimento prima dell'istanza irricevibile". Oltre però a non formulare alcuna censura di violazione del diritto ai sensi dell' art. 95 LTF e a non confrontarsi con la decisione della CRP - unico oggetto di ricorso in questa sede (v. supra consid. 1.1) - l'insorgente non si avvede che la sola questione che può essere vagliata da questo Tribunale consiste nel sapere se la CRP abbia accertato in modo arbitrario l'assenza dei requisiti di ammissibilità della sua istanza di promozione dell'accusa. Lo scritto del 3 febbraio 2010 non è destinato a miglior sorte perché tardivo, essendo giunto oltre il termine di trenta giorni dalla notificazione del testo integrale della decisione della CRP.</w:t>
      </w:r>
    </w:p>
    <w:p>
      <w:r>
        <w:rPr>
          <w:b/>
        </w:rPr>
        <w:t>E. 2</w:t>
      </w:r>
    </w:p>
    <w:p>
      <w:r>
        <w:t>Non spiegando in alcun modo come e in che misura la sentenza della CRP violi il diritto, l'allegato ricorsuale in esame non può che essere dichiarato manifestamente inammissibile. In simili circostanze, la decisione di non entrata nel merito sul ricorso può essere presa mediante la procedura semplificata dell' art. 108 LTF . Risultando soccombente, al ricorrente vanno addossate 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