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99/2023 vom 2. August 2023</w:t>
      </w:r>
    </w:p>
    <w:p>
      <w:r>
        <w:t>Bundesgericht, 2023-08-02, FR</w:t>
      </w:r>
    </w:p>
    <w:p>
      <w:r>
        <w:rPr>
          <w:b/>
        </w:rPr>
        <w:t xml:space="preserve">Quelle: </w:t>
      </w:r>
      <w:r>
        <w:t>https://mcp.opencaselaw.ch/entscheid/bger_6B_99_2023</w:t>
      </w:r>
    </w:p>
    <w:p>
      <w:r>
        <w:t>FR: TF 6B 99/2023 du 2 août 2023</w:t>
      </w:r>
    </w:p>
    <w:p>
      <w:r>
        <w:t>IT: TF 6B 99/2023 del 2 agosto 2023</w:t>
      </w:r>
    </w:p>
    <w:p>
      <w:pPr>
        <w:pStyle w:val="Heading2"/>
      </w:pPr>
      <w:r>
        <w:t>Regeste</w:t>
      </w:r>
    </w:p>
    <w:p>
      <w:r>
        <w:t>Contrainte sexuelle, viol; présomption d'innocence | Infractions</w:t>
      </w:r>
    </w:p>
    <w:p>
      <w:pPr>
        <w:pStyle w:val="Heading2"/>
      </w:pPr>
      <w:r>
        <w:t>Erwägungen</w:t>
      </w:r>
    </w:p>
    <w:p>
      <w:r>
        <w:rPr>
          <w:b/>
        </w:rPr>
        <w:t>E. 1</w:t>
      </w:r>
    </w:p>
    <w:p>
      <w:r>
        <w:t>Le recourant reproche à la cour cantonale d'avoir rejeté ses réquisitions tendant à l'audition comme témoins de la grand-mère de l'intimée, à savoir D.________, et de son épouse dont il est séparé, B.A.________.</w:t>
      </w:r>
    </w:p>
    <w:p>
      <w:r>
        <w:rPr>
          <w:b/>
        </w:rPr>
        <w:t>E. 1.1</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p. 290). L'administration directe du moyen de preuve doit également être réitérée durant la procédure orale d'appel conformément l' art. 343 al. 3 CPP , applicable par renvoi de l' art. 405 al. 1 CPP à la procédure d'appel, lorsque la connaissance directe du moyen de preuve apparaît nécessaire au prononcé du jugement ( ATF 143 IV 288 consid. 1.4.1 p. 290; arrêt 6B_568/2019 du 17 septembre 2019 consid. 2.1 et les références citées).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p. 199 s.; arrêts 6B_238/2020 du 14 décembre 2020 consid. 3.2; 6B_738/2019 du 27 novembre 2019 consid. 4.2).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6B_154/2021 du 17 novembre 2021 consid. 1.1; 6B_289/2020 du 1 er décembre 2020 consid. 4.1).</w:t>
      </w:r>
    </w:p>
    <w:p>
      <w:r>
        <w:rPr>
          <w:b/>
        </w:rPr>
        <w:t>E. 1.2</w:t>
      </w:r>
    </w:p>
    <w:p>
      <w:r>
        <w:t>Il ressort du jugement attaqué que D.________ a déjà été entendue à deux reprises en cours d'enquête, la deuxième fois en contradictoire, à savoir en présence du défenseur du recourant. B.A.________, épouse séparée du recourant, a également déjà été entendue. Son audition a été réalisée en contradictoire, le défenseur du recourant ayant d'ailleurs renoncé à poser des questions complémentaires. Le recourant ne soutient pas que l'une des conditions posées à l' art. 389 al. 2 CPP pour une nouvelle administration de ce moyen de preuve serait réalisée. II n'explique pas non plus en quoi la connaissance directe de ces deux moyens de preuve serait nécessaire. Insuffisamment motivé, ses griefs sont irrecevables.</w:t>
      </w:r>
    </w:p>
    <w:p>
      <w:r>
        <w:rPr>
          <w:b/>
        </w:rPr>
        <w:t>E. 2</w:t>
      </w:r>
    </w:p>
    <w:p>
      <w:r>
        <w:t>Invoquant l'interdiction de l'arbitraire et le principe in dubio pro reo , le recourant critique l'état de fait cantonal.</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Lorsque l'appréciation des preuves et la constatation des faits sont critiquées en référence à la présomption d'innocence ou à son corollaire, le principe in dubio pro reo , ceux-ci n'ont pas de portée plus large que l'interdiction de l'arbitraire (voir ATF 145 IV 154 consid. 1.1 p. 155 s.).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w:t>
      </w:r>
    </w:p>
    <w:p>
      <w:r>
        <w:rPr>
          <w:b/>
        </w:rPr>
        <w:t>E. 2.2</w:t>
      </w:r>
    </w:p>
    <w:p>
      <w:r>
        <w:t>La cour cantonale a considéré que le récit de l'intimée était conforme à la vérité, contrairement à celui du recourant. Elle a indiqué que les déclarations de l'intimée étaient cohérentes, qu'elle n'avait pas exagéré ses propos, ni occulté ce qui la desservait. Selon la cour, le récit de l'intimée était précis, détaillé et corroboré par ses émotions et ses ressentis exprimés. Elle a également indiqué que les témoignages de B.A.________ et de D.________ corroboraient sa version. A l'inverse, la cour a considéré que la crédibilité du recourant était faible, voire nulle eu égard à la variation de ses propos contredits par les éléments du dossier. Elle a ajouté que le contexte progressif des révélations et l'absence de maîtrise de l'intimée sur le processus accréditaient la véracité de son récit qui a toujours été concordant et constant contrairement à celui du recourant. La cour a encore relevé que l'intimée, qui présente une symptomatologie dépressive attestée médicalement, a dû subir de nombreux examens médicaux intrusifs, s'ouvrir auprès de ses proches, engager une procédure pénale. Elle a estimé que ces éléments étaient incompatibles avec une accusation mensongère.</w:t>
      </w:r>
    </w:p>
    <w:p>
      <w:r>
        <w:rPr>
          <w:b/>
        </w:rPr>
        <w:t>E. 2.3</w:t>
      </w:r>
    </w:p>
    <w:p>
      <w:r>
        <w:t>Le recourant oppose sa propre appréciation des événements à celle de la cour cantonale dans une démarche purement appellatoire, partant irrecevable ( art. 106 al. 2 LTF ). C'est le cas lorsque lorsqu'il prétend que l'intimée aurait amplifié les événements survenus chez sa grand-mère parce que, lorsqu'elle dormait ailleurs, elle était sujette à des "crises d'angoisse", que l'intimée n'avait pas pleuré, qu'elle ne s'était pas débattue, qu'elle n'avait pas tenté de fuir et, qu'au contraire, le déroulement des faits, tel que présenté par l'intimée, laissait transparaître une relation amoureuse entre eux, que la cour cantonale ne pouvait pas lui reprocher un comportement violent et possessif car, s'il s'était bagarré en boîte de nuit, c'était uniquement pour la protéger. Le recourant ne formule aucune critique recevable.</w:t>
      </w:r>
    </w:p>
    <w:p>
      <w:r>
        <w:rPr>
          <w:b/>
        </w:rPr>
        <w:t>E. 3</w:t>
      </w:r>
    </w:p>
    <w:p>
      <w:r>
        <w:t>Le recours doit être déclaré irrecevable.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