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6B_99/2021 vom 23. September 2021</w:t>
      </w:r>
    </w:p>
    <w:p>
      <w:r>
        <w:t>Bundesgericht, 2021-09-23, FR</w:t>
      </w:r>
    </w:p>
    <w:p>
      <w:r>
        <w:rPr>
          <w:b/>
        </w:rPr>
        <w:t xml:space="preserve">Quelle: </w:t>
      </w:r>
      <w:r>
        <w:t>https://mcp.opencaselaw.ch/entscheid/bger_6B_99_2021</w:t>
      </w:r>
    </w:p>
    <w:p>
      <w:r>
        <w:t>FR: TF 6B_99/2021 du 23 septembre 2021</w:t>
      </w:r>
    </w:p>
    <w:p>
      <w:r>
        <w:t>IT: TF 6B_99/2021 del 23 settembre 2021</w:t>
      </w:r>
    </w:p>
    <w:p>
      <w:pPr>
        <w:pStyle w:val="Heading2"/>
      </w:pPr>
      <w:r>
        <w:t>Erwägungen</w:t>
      </w:r>
    </w:p>
    <w:p>
      <w:r>
        <w:rPr>
          <w:b/>
        </w:rPr>
        <w:t>E. 1</w:t>
      </w:r>
    </w:p>
    <w:p>
      <w:r>
        <w:t>La recourante se plaint d'une violation de son droit d'être entendue en lien avec le rejet de ses réquisitions de preuve.</w:t>
      </w:r>
    </w:p>
    <w:p>
      <w:r>
        <w:rPr>
          <w:b/>
        </w:rPr>
        <w:t>E. 1.1</w:t>
      </w:r>
    </w:p>
    <w:p>
      <w:r>
        <w:t>Le droit d'être entendu, garanti à l' art. 29 al. 2 Cst. (cf. aussi les art. 3 al. 2 let . c et 107 CPP et art. 6 par. 1 CEDH ), comprend notamment celui de produire ou de faire administrer des preuves, à condition qu'elles soient pertinentes et de nature à influer sur la décision à rendre ( ATF 146 IV 218 consid. 3.1.1 p. 221; ATF 145 I 73 consid. 7.2.2.1 p. 103;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6B_211/2021 du 2 août 2021 consid. 2.1; 6B_ 1269/2020 du 23 juin 2021 consid. 2.1; 6B_935/2020 du 25 février 2021 consid. 1.1).</w:t>
      </w:r>
    </w:p>
    <w:p>
      <w:r>
        <w:rPr>
          <w:b/>
        </w:rPr>
        <w:t>E. 1.2</w:t>
      </w:r>
    </w:p>
    <w:p>
      <w:r>
        <w:t>La recourante fait grief à la cour cantonale d'avoir rejeté à tort ses réquisitions de preuve, qu'elle aurait (partiellement) formées en première instance, en vain. Elle soutient que les preuves requises, soit l'audition de plusieurs témoins et la production de deux pièces, devraient permettre d'établir la preuve de la vérité et/ou de sa bonne foi s'agissant de sa condamnation pour diffamation (</w:t>
      </w:r>
    </w:p>
    <w:p>
      <w:r>
        <w:t>supra , B.a).</w:t>
      </w:r>
    </w:p>
    <w:p>
      <w:r>
        <w:rPr>
          <w:b/>
        </w:rPr>
        <w:t>E. 1.3</w:t>
      </w:r>
    </w:p>
    <w:p>
      <w:r>
        <w:t>La cour cantonale s'est référée à son ordonnance du 6 avril 2020 dûment motivée et notifiée aux parties, aux termes de laquelle les réquisitions de preuve formulées par la recourante dans sa déclaration d'appel ont toutes été rejetées. Elle a souligné que la recourante n'avait pas formellement réitéré ses réquisitions de preuve à l'ouverture des débats d'appel. Elle a toutefois confirmé que les auditions requises n'apparaissaient pas utiles pour statuer, aucun des témoignages n'étant susceptible d'apporter la preuve de la vérité ou de la bonne foi de la recourante, étant relevé que celle-ci ne s'était pas contentée de tenir les abus allégués pour possible, affirmant qu'ils avaient eu lieu. Le dossier contenait en outre suffisamment d'éléments concernant les relations familiales, soit en particulier l'expertise familiale détaillée établie par le CURML le 5 novembre 2018. L'apport d'un enregistrement vidéo du 27 mai 2018 n'était pas nécessaire, celui-ci faisant précisément partie de l'expertise précitée. Enfin, l'apport du dossier infirmier de la fille de la recourante était sans pertinence avec les faits qui lui étaient reprochés.</w:t>
      </w:r>
    </w:p>
    <w:p>
      <w:r>
        <w:rPr>
          <w:b/>
        </w:rPr>
        <w:t>E. 1.4</w:t>
      </w:r>
    </w:p>
    <w:p>
      <w:r>
        <w:t>En substance, la recourante soutient qu'en 2015, D.A.________ lui aurait indiqué avoir des inquiétudes vis-à-vis de leur fille car son frère, F.A.________, aurait été soumis par le passé à des abus sexuels de la part de leurs parents. En soutenant qu'elle n'aurait "fait que répéter les propos tenus devant elle par son ancien compagnon concernant ses parents et avoir ainsi dit la vérité", la recourante ne fait qu'opposer sa propre appréciation dans une démarche purement appellatoire. Elle ne démontre ainsi pas en quoi l'appréciation anticipée de la pertinence des moyens de preuves à laquelle la cour cantonale a procédé serait entachée d'arbitraire. Il en va de même lorsqu'elle affirme qu'elle a "toujours eu pour unique but de protéger sa fille et qu'elle n'a en aucun cas eu la volonté de nuire". Au surplus, la recourante prétend que l'audition de F.A.________ aurait permis de "prouver qu'elle avait de bonne raison de croire les propos de D.A.________". A cet égard, la cour cantonale a retenu que H.________ (l'oncle de D.A.________, dont la recourante avait aussi sollicité l'audition) avait nié, dans un courrier du 8 octobre 2016 versé à la procédure, avoir eu connaissance d'éventuels abus sexuels subis par F.A.________ durant son enfance. Quant à F.A.________, elle a notamment souligné qu'il n'avait jamais dénoncé les abus allégués par la recourante, celle-ci admettant en outre ne pas en avoir discuté avec lui. La cour cantonale a par ailleurs relevé que l'audition de I.________ (psychologue de E.________) n'était pas pertinente, dès lors que son témoignage ne pourrait tout au plus porter que sur des propos rapportés par D.A.________ au sujet des prétendues révélations de son frère, ou encore le ressenti de la jeune fille sur ces questions. Les autres auditions requises n'apparaissaient pas non plus utiles (G.________, J.________ et K.________). On ne voit ainsi pas en quoi il aurait été insoutenable, pour la cour cantonale, de considérer qu'aucun des témoignages requis n'était susceptible d'apporter la preuve de la vérité ou de la bonne foi de la recourante. Partant, le grief est irrecevable, à défaut de satisfaire aux exigences découlant des art. 42 al. 2 et 106 al. 2 LTF.</w:t>
      </w:r>
    </w:p>
    <w:p>
      <w:r>
        <w:rPr>
          <w:b/>
        </w:rPr>
        <w:t>E. 2</w:t>
      </w:r>
    </w:p>
    <w:p>
      <w:r>
        <w:t>La recourante semble contester l'appréciation des preuves à laquelle s'est livrée la cour cantonale pour arriver à la conclusion qu'elle aurait échoué à apporter des preuves libératoires.</w:t>
      </w:r>
    </w:p>
    <w:p>
      <w:r>
        <w:t>En résumé, la cour cantonale a retenu que la recourante ne pouvait pas se prévaloir de la preuve de la vérité ou de sa bonne foi, ce qu'elle a en outre constaté dans son dispositif ( art. 173 ch. 5 CP ).</w:t>
      </w:r>
    </w:p>
    <w:p>
      <w:r>
        <w:t>La recourante ne présente toutefois aucune argumentation distincte de celle résumée</w:t>
      </w:r>
    </w:p>
    <w:p>
      <w:r>
        <w:t>supra (consid. 1.4), laquelle ne répond pas aux exigences de motivation découlant des art. 42 al. 2 et 106 al. 2 LTF, et n'est pas propre à démontrer que l'autorité précédente aurait versé dans l'arbitraire sur ce point. Ses critiques sont partant irrecevables.</w:t>
      </w:r>
    </w:p>
    <w:p>
      <w:r>
        <w:rPr>
          <w:b/>
        </w:rPr>
        <w:t>E. 3</w:t>
      </w:r>
    </w:p>
    <w:p>
      <w:r>
        <w:t>Pour le surplus, bien qu'elle conteste sa condamnation pour diffamation, la recourante n'articule aucun grief recevable tiré de l'application erronée du droit matériel. De même, elle se contente de conclure à son acquittement des chefs d'infractions de calomnie et tentative de contrainte, sans exposer succinctement en quoi l'arrêt entrepris violerait le droit. Dès lors, elle ne forme aucun grief recevable ( art. 42 al. 2 LTF ).</w:t>
      </w:r>
    </w:p>
    <w:p>
      <w:r>
        <w:rPr>
          <w:b/>
        </w:rPr>
        <w:t>E. 4</w:t>
      </w:r>
    </w:p>
    <w:p>
      <w:r>
        <w:t>Le recours doit être rejeté dans la mesure où il est recevable. Comme il était dénué de chance de succès, la demande d'assistance judiciaire doit être rejetée ( art. 64 al. 1 LTF ). La recourante,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