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999/2020 vom 22. September 2020</w:t>
      </w:r>
    </w:p>
    <w:p>
      <w:r>
        <w:t>Bundesgericht, 2020-09-22, FR</w:t>
      </w:r>
    </w:p>
    <w:p>
      <w:r>
        <w:rPr>
          <w:b/>
        </w:rPr>
        <w:t xml:space="preserve">Quelle: </w:t>
      </w:r>
      <w:r>
        <w:t>https://mcp.opencaselaw.ch/entscheid/bger_6B_999_2020</w:t>
      </w:r>
    </w:p>
    <w:p>
      <w:r>
        <w:t>FR: TF 6B 999/2020 du 22 septembre 2020</w:t>
      </w:r>
    </w:p>
    <w:p>
      <w:r>
        <w:t>IT: TF 6B 999/2020 del 22 settembre 2020</w:t>
      </w:r>
    </w:p>
    <w:p>
      <w:pPr>
        <w:pStyle w:val="Heading2"/>
      </w:pPr>
      <w:r>
        <w:t>Regeste</w:t>
      </w:r>
    </w:p>
    <w:p>
      <w:r>
        <w:t>Diffamation ; irrecevabilité du recours | Infractions</w:t>
      </w:r>
    </w:p>
    <w:p>
      <w:pPr>
        <w:pStyle w:val="Heading2"/>
      </w:pPr>
      <w:r>
        <w:t>Erwägungen</w:t>
      </w:r>
    </w:p>
    <w:p>
      <w:r>
        <w:rPr>
          <w:b/>
        </w:rPr>
        <w:t>E. 1</w:t>
      </w:r>
    </w:p>
    <w:p>
      <w:r>
        <w:t>Par jugement du 30 octobre 2019, le Tribunal de police de l'arrondissement de la Broye et du Nord vaudois a libéré A.________ du chef de prévention de diffamation. Par jugement du 16 juin 2020, la Cour d'appel pénale du Tribunal cantonal du canton de Vaud, statuant sur l'appel de B.________ - partie plaignante dans la procédure - ainsi que sur l'appel formé par A.________ contre ce jugement, a réformé celui-ci en ce sens que le dernier nommé est condamné, pour diffamation, à une peine pécuniaire de 10 jours-amende à 100 fr. le jour, peine complémentaire à celle prononcée le 6 juin 2019. A.________ forme un recours en matière pénale au Tribunal fédéral contre le jugement du 16 juin 2020, en concluant à son annulation et à ce que le Tribunal fédéral "juge l'affaire". Il demande par ailleurs à être entendu, "en particulier pour relativiser, voire contester les références à son casier judiciaire qui semblent avoir été l'unique source d'information de la cour d'appel".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l'occurrence, le recourant présente différents éléments de fait qui ne ressortent pas du jugement attaqué, sans démontrer que la cour cantonale aurait arbitrairement omis de retenir ceux-ci. Son argumentation se révèle, dans cette mesure, irrecevable. Pour le reste, le recourant formule essentiellement son argumentation sous la forme de questions qu'il se pose et auxquelles, selon lui, l'autorité précédente n'aurait "pas ou mal" répondu. Ce faisant, il ne présente aucun grief recevable - répondant aux exigences de motivation découlant des art. 42 al. 2 et 106 al. 2 LTF - en lien avec une éventuelle violation de son droit d'être entendu. C'est également en vain que l'on cherche, dans le mémoire de recours du recourant, un grief topique, propre à démontrer que la cour cantonale aurait pu violer le droit, l'intéressé présentant une argumentation essentiellement appellatoire et, partant, irrecevable. Faute de satisfaire aux conditions de recevabilité d'un recours en matière pénale au Tribunal fédéral (cf. art. 42 al. 2 ; 106 al. 2 LTF ), le recours doit être déclaré irrecevable en application de l' art. 108 al. 1 let. b LTF . On ne voit enfin pas en quoi l'audition du recourant - telle que requise - serait nécessaire au traitement de la présente cause, l'irrecevabilité du recours étant manifeste.</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