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6B_999/2019 vom 6. November 2019</w:t>
      </w:r>
    </w:p>
    <w:p>
      <w:r>
        <w:t>Bundesgericht, 2019-11-06, FR</w:t>
      </w:r>
    </w:p>
    <w:p>
      <w:r>
        <w:rPr>
          <w:b/>
        </w:rPr>
        <w:t xml:space="preserve">Quelle: </w:t>
      </w:r>
      <w:r>
        <w:t>https://mcp.opencaselaw.ch/entscheid/bger_6B_999_2019</w:t>
      </w:r>
    </w:p>
    <w:p>
      <w:r>
        <w:t>FR: TF 6B_999/2019 du 6 novembre 2019</w:t>
      </w:r>
    </w:p>
    <w:p>
      <w:r>
        <w:t>IT: TF 6B_999/2019 del 6 novembre 2019</w:t>
      </w:r>
    </w:p>
    <w:p>
      <w:pPr>
        <w:pStyle w:val="Heading2"/>
      </w:pPr>
      <w:r>
        <w:t>Erwägungen</w:t>
      </w:r>
    </w:p>
    <w:p>
      <w:r>
        <w:rPr>
          <w:b/>
        </w:rPr>
        <w:t>E. 1</w:t>
      </w:r>
    </w:p>
    <w:p>
      <w:r>
        <w:t>Dans une section de son mémoire de recours intitulée "En fait", le recourant présente sa propre version des événements, en s'écartant de l'état de fait de la cour cantonale, par lequel le Tribunal fédéral est lié (cf. art. 105 al. 1 LTF ) et dont il ne prétend ni ne démontre qu'il aurait été établi de manière arbitraire (cf. art. 97 al. 1 LTF ). Ce faisant, l'intéressé ne formule aucun grief recevable.</w:t>
      </w:r>
    </w:p>
    <w:p>
      <w:r>
        <w:rPr>
          <w:b/>
        </w:rPr>
        <w:t>E. 2</w:t>
      </w:r>
    </w:p>
    <w:p>
      <w:r>
        <w:t>Le recourant reproche à l'autorité précédente de ne pas avoir procédé à l'audition de D.________. Une telle réquisition de preuve avait déjà été formulée devant le tribunal de première instance, mais avait été rejetée.</w:t>
      </w:r>
    </w:p>
    <w:p>
      <w:r>
        <w:rPr>
          <w:b/>
        </w:rPr>
        <w:t>E. 2.1</w:t>
      </w:r>
    </w:p>
    <w:p>
      <w:r>
        <w:t>Selon l' art. 398 al. 4 CPP , lorsque, comme en l'espèce,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w:t>
      </w:r>
    </w:p>
    <w:p>
      <w:r>
        <w:t>La partie appelante peut cependant valablement renouveler en appel les réquisitions de preuve formulées devant le premier juge et qui ont été rejetées (arrêts 6B_764/2016 du 24 novembre 2016 consid. 2.3.2; 6B_202/2015 du 28 octobre 2015 consid. 2.2; 6B_362/2012 du 29 octobre 2012 consid. 8.4.1).</w:t>
      </w:r>
    </w:p>
    <w:p>
      <w:r>
        <w:rPr>
          <w:b/>
        </w:rPr>
        <w:t>E. 2.2</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6B_884/2019 du 30 octobre 2019 consid. 2.1; 6B_974/2019 du 25 octobre 2019 consid. 2.1; 6B_727/2019 du 27 septembre 2019 consid. 1.3.1).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w:t>
      </w:r>
    </w:p>
    <w:p>
      <w:r>
        <w:rPr>
          <w:b/>
        </w:rPr>
        <w:t>E. 2.3</w:t>
      </w:r>
    </w:p>
    <w:p>
      <w:r>
        <w:t>La cour cantonale a exposé que le recourant prétendait qu'un véhicule tiers se serait déplacé devant le sien avant qu'il eût dû procéder au freinage, ce qui aurait conduit l'intéressé à dévier sa trajectoire sur la bande d'arrêt d'urgence, sur laquelle circulait le camion ayant ensuite percuté sa voiture. Le recourant avait demandé l'audition de D.________ en indiquant que ce dernier serait susceptible de confirmer la présence du véhicule tiers précité. Selon l'autorité précédente, le prénommé avait déjà été entendu par la police. D.________ avait alors déclaré que la voiture du recourant - qui circulait sur la voie centrale - s'était trouvée confrontée à un ralentissement et que son conducteur avait fortement freiné et dévié sur la droite, ou effectué une manoeuvre d'évitement en se déportant sur sa propre voie à environ 5 m devant son camion. D.________ n'avait aucunement mentionné la présence d'un véhicule tiers. En outre, lorsqu'il avait été entendu par la police immédiatement après l'accident, le recourant n'avait pas davantage évoqué la présence d'un éventuel véhicule tiers. Ce n'était que par la suite, durant l'instruction, que l'intéressé avait fait état de cet élément. Or, il était invraisemblable que le recourant n'eût pas immédiatement rapporté la présence d'un tel véhicule tiers s'il avait estimé celui-ci responsable de sa manoeuvre d'évitement, respectivement de l'accident. Il n'était donc pas nécessaire d'entendre à nouveau D.________, près de deux ans après les faits.</w:t>
      </w:r>
    </w:p>
    <w:p>
      <w:r>
        <w:rPr>
          <w:b/>
        </w:rPr>
        <w:t>E. 2.4</w:t>
      </w:r>
    </w:p>
    <w:p>
      <w:r>
        <w:t>Le recourant se plaint longuement du refus d'auditionner D.________, mais ne démontre aucunement que l'appréciation anticipée de la preuve à laquelle s'est livrée l'autorité précédente serait arbitraire. Il n'explique pas, en particulier, pourquoi le prénommé, qui a été entendu immédiatement après l'accident sans faire état d'un prétendu véhicule tiers ayant contraint le recourant à effectuer une manoeuvre d'évitement, serait désormais susceptible de modifier ses déclarations et d'appuyer la version des événements qu'il n'a lui-même développée qu'au cours de l'instruction. Le grief doit être rejeté.</w:t>
      </w:r>
    </w:p>
    <w:p>
      <w:r>
        <w:rPr>
          <w:b/>
        </w:rPr>
        <w:t>E. 3</w:t>
      </w:r>
    </w:p>
    <w:p>
      <w:r>
        <w:t>Le recourant conteste sa condamnation pour violation simple des règles de la circulation routière.</w:t>
      </w:r>
    </w:p>
    <w:p>
      <w:r>
        <w:t>La cour cantonale a retenu que, au moment de l'accident, le recourant n'avait pas voué toute son attention à la circulation en empiétant sur la bande d'arrêt d'urgence, alors que le camion conduit par D.________ y circulait à une vitesse supérieure. Elle a expressément écarté l'intervention d'un véhicule tiers qui se serait inséré entre la voiture du recourant et celle qui le précédait. L'autorité précédente a encore indiqué que si l'intéressé avait dû se déporter sur la bande d'arrêt d'urgence afin d'éviter une collision avec le véhicule qui le précédait, c'était parce qu'il n'avait pas observé une distance suffisante avec celui-ci, ou car il n'avait pas voué l'attention nécessaire au trafic et s'était laissé surprendre par son ralentissement. Elle a ainsi considéré que le recourant avait violé les art. 31, 34 al. 3, 44 al. 1 de la loi fédérale sur la circulation routière (LCR; 741.01) ainsi que l'art. 3 al. 1 de l'ordonnance sur les règles de la circulation routière (OCR; 741.11).</w:t>
      </w:r>
    </w:p>
    <w:p>
      <w:r>
        <w:t>En l'occurrence, le recourant fonde intégralement son argumentation sur sa propre version des événements, selon laquelle un véhicule lui aurait fautivement fait une "queue de poisson en se rabattant depuis la troisième voie sur la deuxième voie" sur laquelle il circulait, ce qui l'aurait contraint à se déporter sur la bande d'arrêt d'urgence. Cette argumentation est irrecevable, puisqu'elle s'écarte de l'état de fait de la cour cantonale, par lequel le Tribunal fédéral est lié (cf. art. 105 al. 1 LTF ) et dont le recourant ne prétend ni ne démontre qu'il aurait été établi de manière arbitraire (cf. art. 97 al. 1 LTF ). Pour le reste, le recourant ne présente aucune argumentation recevable, fondée sur les faits retenus, propre à démontrer que l'autorité précédente aurait pu violer le droit en le condamnant pour violation simple des règles de la circulation routière.</w:t>
      </w:r>
    </w:p>
    <w:p>
      <w:r>
        <w:rPr>
          <w:b/>
        </w:rPr>
        <w:t>E. 4</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