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999/2013 vom 27. November 2013</w:t>
      </w:r>
    </w:p>
    <w:p>
      <w:r>
        <w:t>Bundesgericht, 2013-11-27, FR</w:t>
      </w:r>
    </w:p>
    <w:p>
      <w:r>
        <w:rPr>
          <w:b/>
        </w:rPr>
        <w:t xml:space="preserve">Quelle: </w:t>
      </w:r>
      <w:r>
        <w:t>https://mcp.opencaselaw.ch/entscheid/bger_6B_999_2013</w:t>
      </w:r>
    </w:p>
    <w:p>
      <w:r>
        <w:t>FR: TF 6B 999/2013 du 27 novembre 2013</w:t>
      </w:r>
    </w:p>
    <w:p>
      <w:r>
        <w:t>IT: TF 6B 999/2013 del 27 novembre 2013</w:t>
      </w:r>
    </w:p>
    <w:p>
      <w:pPr>
        <w:pStyle w:val="Heading2"/>
      </w:pPr>
      <w:r>
        <w:t>Regeste</w:t>
      </w:r>
    </w:p>
    <w:p>
      <w:r>
        <w:t>Irrecevabilité formelle du recours en matière pénale | Infractions</w:t>
      </w:r>
    </w:p>
    <w:p>
      <w:pPr>
        <w:pStyle w:val="Heading2"/>
      </w:pPr>
      <w:r>
        <w:t>Erwägungen</w:t>
      </w:r>
    </w:p>
    <w:p>
      <w:r>
        <w:rPr>
          <w:b/>
        </w:rPr>
        <w:t>E. 1.1</w:t>
      </w:r>
    </w:p>
    <w:p>
      <w:r>
        <w:t>Par jugement du 25 avril 2013, le Tribunal de police genevois a reconnu X.________ coupable de menaces, injures et conduite en état d'ébriété avec un taux d'alcool qualifié. Partant, il l'a condamné à une peine pécuniaire de 90 jours-amende - à 30 fr. le jour - assortie d'un sursis de trois ans et à une amende de 500 fr., la peine privative de liberté de substitution en cas de non-paiement étant fixée à 16 jours. Statuant le 20 septembre 2013 sur appel de X.________, la Chambre pénale d'appel et de révision de la Cour de justice genevoise a réformé le jugement de première instance en ce sens que la peine privative de liberté de substitution en cas de non-paiement de l'amende a été rapportée à 5 jours. Pour le surplus, la Chambre pénale d'appel a confirmé le jugement entrepris et débouté l'appelant de ses conclusions en indemnisation. X.________ interjette un recours en matière pénale au Tribunal fédéral contre l'arrêt cantonal.</w:t>
      </w:r>
    </w:p>
    <w:p>
      <w:r>
        <w:rPr>
          <w:b/>
        </w:rPr>
        <w:t>E. 1.2</w:t>
      </w:r>
    </w:p>
    <w:p>
      <w:r>
        <w:t>Selon l' art. 42 al. 1 et 2 LTF , le recourant doit, sous peine d'irrecevabilité ( art. 108 al. 1 let. b LTF ), motiver son recours en exposant succinctement en quoi la décision attaquée viole le droit.</w:t>
      </w:r>
    </w:p>
    <w:p>
      <w:r>
        <w:rPr>
          <w:b/>
        </w:rPr>
        <w:t>E. 1.3</w:t>
      </w:r>
    </w:p>
    <w:p>
      <w:r>
        <w:t>En l'occurrence, X.________ se borne à présenter les conclusions chiffrées de sa demande en indemnisation sans pour autant indiquer en quoi les considérants de l'arrêt cantonal attaqué seraient critiquables et, en particulier, contraires au droit. Faute de satisfaire aux exigences de motivation de l' art. 42 LTF , le recours doit être écarté en application de l' art. 108 al. 1 let. b LTF .</w:t>
      </w:r>
    </w:p>
    <w:p>
      <w:r>
        <w:rPr>
          <w:b/>
        </w:rPr>
        <w:t>E. 2</w:t>
      </w:r>
    </w:p>
    <w:p>
      <w:r>
        <w:t>Le recourant, qui succombe, supportera les frais de justice ( art. 66 al. 1 LTF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