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6B_999/2009 vom 23. April 2010</w:t>
      </w:r>
    </w:p>
    <w:p>
      <w:r>
        <w:t>Bundesgericht, 2010-04-23, FR</w:t>
      </w:r>
    </w:p>
    <w:p>
      <w:r>
        <w:rPr>
          <w:b/>
        </w:rPr>
        <w:t xml:space="preserve">Quelle: </w:t>
      </w:r>
      <w:r>
        <w:t>https://mcp.opencaselaw.ch/entscheid/bger_6B_999_2009</w:t>
      </w:r>
    </w:p>
    <w:p>
      <w:r>
        <w:t>FR: TF 6B_999/2009 du 23 avril 2010</w:t>
      </w:r>
    </w:p>
    <w:p>
      <w:r>
        <w:t>IT: TF 6B_999/2009 del 23 aprile 2010</w:t>
      </w:r>
    </w:p>
    <w:p>
      <w:pPr>
        <w:pStyle w:val="Heading2"/>
      </w:pPr>
      <w:r>
        <w:t>Erwägungen</w:t>
      </w:r>
    </w:p>
    <w:p>
      <w:r>
        <w:rPr>
          <w:b/>
        </w:rPr>
        <w:t>E. 1</w:t>
      </w:r>
    </w:p>
    <w:p>
      <w:r>
        <w:t>Le recourant soutient que sa condamnation à une partie des frais de première instance repose sur un état de fait retenu en violation arbitraire de l' art. 447 al. 2 CPP /VD. Il fait valoir que, le Ministère public ayant recouru exclusivement en réforme, la cour cantonale, conformément à cette disposition, était liée par les faits constatés dans le jugement qui lui était déféré, dont elle se serait toutefois écartée sur plusieurs points.</w:t>
      </w:r>
    </w:p>
    <w:p>
      <w:r>
        <w:rPr>
          <w:b/>
        </w:rPr>
        <w:t>E. 1.1</w:t>
      </w:r>
    </w:p>
    <w:p>
      <w:r>
        <w:t>La cour cantonale a justifié son prononcé, sur le point litigieux, en observant que le recourant était au courant de la situation et savait qu'il y avait un problème de manque de provisions. Il avait néanmoins participé à l'élaboration de la nouvelle méthode de provisionnement, consistant à retenir un taux de couverture de 50 %. Il estimait également que le risque technique retenu par la banque était de 10 % trop élevé. De plus, il avait donné de manière incompréhensible son accord à une révision de certains crédits. Il avait ainsi largement contribué à l'information tronquée donnée aux autres organes et aux actionnaires. Alors qu'il était au courant des modalités de fixation des provisions, il avait gardé un silence complet, y compris sur la non-mention de l'abattement de 10 % au cours de l'exercice 1997. Ce faisant, il avait adopté un comportement civilement répréhensible, justifiant de mettre à sa charge une partie des frais de la procédure.</w:t>
      </w:r>
    </w:p>
    <w:p>
      <w:r>
        <w:rPr>
          <w:b/>
        </w:rPr>
        <w:t>E. 1.2</w:t>
      </w:r>
    </w:p>
    <w:p>
      <w:r>
        <w:t>Le recourant a dirigé, pour le compte de T.________ dont il était le collaborateur, le mandat de révision de la BCV de 1995 à 2001. Il a eu connaissance des problèmes de provisionnement rencontrés par cette dernière peu après leur apparition et a été associé régulièrement au processus visant à les résoudre.</w:t>
      </w:r>
    </w:p>
    <w:p>
      <w:r>
        <w:t>Ainsi, le recourant a été informé personnellement par X.________, le 20 janvier 1997, de ce que le montant de provisions de 1'011'743'000 fr. annoncé par J_______ avait pour effet de faire passer le taux de couverture de 66 % à 50 %. Il a participé à la séance de bouclement du 21 janvier 1997, qui a porté sur le manque de provisions de 91'000'000 fr., les correctifs de valeurs et provisions et la diminution consécutive du taux de couverture technique. Il a également participé à la séance du 4 février 1997, portant sur la différence de 91'000'000 fr. entre le montant de provisions figurant dans la deuxième version de l'état des risques et celui arrêté lors du bouclement des comptes et, au terme de cette entrevue, a donné son accord à la révision de certains crédits immobiliers et à ce que leur soit appliqué un taux de capitalisation plus bas sur les revenus locatifs. Il a donné son aval à l'état des risques établi en application de la variante 4.2, qui a été adopté le 11 mars 1997 par la Direction générale.</w:t>
      </w:r>
    </w:p>
    <w:p>
      <w:r>
        <w:t>A l'issue de la séance du 15 mai 1997, le recourant a été chargé d'établir une analyse détaillée de l'abattement linéaire de 216'000'000 fr. portant sur les crédits couverts par un gage immobilier et de vérifier les conclusions auxquelles étaient parvenus D.________ et A.________, ce qu'il a fait. Parallèlement, il a établi et déposé, le 3 juin 1997, son rapport sur la révision des comptes annuels arrêtés au 31 décembre 1996, a rédigé la note remise le 6 juin 1997 à Z.________, dont ressortait un besoin de provisions complémentaires de l'ordre de 154'000'000 fr. par rapport au risque technique finalement retenu par la banque, et a participé à la séance de coordination du 9 juin 1997, lors de laquelle l'opinion qu'il défendait a prévalu sur celle de D.________ et A.________. Le 11 juin 1997, il a confirmé à X.________ que T.________ estimait à 154'000'000 fr. le besoin de provisions complémentaires au 31 décembre 1996, en indiquant que celui-ci était couvert, sur le plan matériel, par les provisions spécifiques de 1'018'000'000 fr. ainsi que par la provision pour autre risque bancaire de 325'000'000 fr. Il a déterminé un risque technique inférieur de 10 % à celui retenu par la banque.</w:t>
      </w:r>
    </w:p>
    <w:p>
      <w:r>
        <w:t>Par la suite, le recourant a participé à la séance organisée le 7 novembre 1997 à la CFB, puis à la séance de bouclement des comptes 1997 du 21 janvier 1998. Il a établi le rapport du 30 janvier 1998 sur la révision des prêts à la clientèle au 30 juin 1997, au terme duquel était arrêté le montant de 1'908'600'000 fr. du risque technique, ainsi que le rapport "long form" sur les comptes annuels au 31 décembre 1997, qui reprenait notamment le taux de couverture des risques spécifiques de 50 %, couplé à la réserve de 250'000'000 fr. pour couverture des risques potentiels futurs. Il a donné son aval à la projection de bouclement qui a abouti à l'acceptation d'une augmentation du capital. Il a encore établi le rapport "long form" sur les comptes annuels au 31 décembre 1998.</w:t>
      </w:r>
    </w:p>
    <w:p>
      <w:r>
        <w:rPr>
          <w:b/>
        </w:rPr>
        <w:t>E. 1.3</w:t>
      </w:r>
    </w:p>
    <w:p>
      <w:r>
        <w:t>Les faits ainsi constatés dans l'arrêt attaqué ont tous été repris du jugement de première instance. La cour cantonale ne s'est donc pas écartée de l'état de fait de ce jugement en retenant, comme il en résulte, que le recourant était au courant de la situation et savait qu'il y avait un problème de manque de provisions, qu'il a participé à la nouvelle méthode de provisionnement consistant à retenir un taux de couverture de 50 % et qu'il estimait que le risque technique retenu par la banque était de 10 % trop élevé. De même, elle ne s'est pas écartée du jugement de première instance, auquel elle s'est au contraire expressément référée sur ce point, en relevant que le recourant a donné de manière incompréhensible son accord à la révision de certains crédits. Au reste, en observant que le recourant a, de la sorte, contribué à l'information tronquée donnée aux autres organes et aux actionnaires et en relevant que, bien qu'au courant des modalités de fixation des provisions, il a gardé le silence, la cour cantonale n'a fait que tirer les conséquences des faits sur lesquels elle s'est fondée. Le grief de violation arbitraire de l' art. 447 al. 2 CPP /VD est ainsi dénué de fondement.</w:t>
      </w:r>
    </w:p>
    <w:p>
      <w:r>
        <w:rPr>
          <w:b/>
        </w:rPr>
        <w:t>E. 2</w:t>
      </w:r>
    </w:p>
    <w:p>
      <w:r>
        <w:t>Le recourant allègue que l'arrêt attaqué, sur le point litigieux, viole son droit d'être entendu et de se défendre et qu'il consacre en outre une violation de la présomption d'innocence.</w:t>
      </w:r>
    </w:p>
    <w:p>
      <w:r>
        <w:rPr>
          <w:b/>
        </w:rPr>
        <w:t>E. 2.1</w:t>
      </w:r>
    </w:p>
    <w:p>
      <w:r>
        <w:t>Le recourant déduit exclusivement son grief de violation du droit d'être entendu et de se défendre du fait que la cour cantonale se serait fondée sur des faits non retenus dans le jugement de première instance ou, autrement dit, du bien-fondé prétendu de son grief de violation arbitraire de l' art. 447 al. 2 CPP /VD. Ce dernier ayant été écarté (cf. supra, consid. 1), le présent moyen est par-là même privé de fondement.</w:t>
      </w:r>
    </w:p>
    <w:p>
      <w:r>
        <w:rPr>
          <w:b/>
        </w:rPr>
        <w:t>E. 2.2</w:t>
      </w:r>
    </w:p>
    <w:p>
      <w:r>
        <w:t>Il en va de même du grief du recourant pris d'une violation de la présomption d'innocence, dans la mesure où il le déduit d'une prétendue violation arbitraire de l' art. 447 al. 2 CPP /VD.</w:t>
      </w:r>
    </w:p>
    <w:p>
      <w:r>
        <w:rPr>
          <w:b/>
        </w:rPr>
        <w:t>E. 3</w:t>
      </w:r>
    </w:p>
    <w:p>
      <w:r>
        <w:t>Le recourant se plaint d'une application arbitraire de l' art. 158 CPP /VD, alléguant que la cour cantonale a admis de manière insoutenable la réalisation des conditions prévues par cette disposition. Dans le cadre de ce grief, il invoque en outre derechef une violation de la présomption d'innocence, à raison de l'identité entre le comportement à l'origine des préventions dont il a été acquitté et celui sur lequel repose sa condamnation à une partie des frais.</w:t>
      </w:r>
    </w:p>
    <w:p>
      <w:r>
        <w:rPr>
          <w:b/>
        </w:rPr>
        <w:t>E. 3.1</w:t>
      </w:r>
    </w:p>
    <w:p>
      <w:r>
        <w:t>A teneur de l' art. 158 CPP /VD, "lorsque le prévenu est libéré des fins de la poursuite pénale, il ne peut être condamné à tout ou partie des frais que si l'équité l'exige, notamment s'il a donné lieu à l'ouverture de l'action pénale ou s'il en a compliqué l'instruction". Cette disposition confère au juge un pouvoir d'appréciation étendu, qui est toutefois limité par les garanties découlant du droit constitutionnel.</w:t>
      </w:r>
    </w:p>
    <w:p>
      <w:r>
        <w:t>Ainsi, la condamnation d'un prévenu acquitté à supporter tout ou partie des frais doit respecter la présomption d'innocence, consacrée par les art. 32 al. 1 Cst. et 6 ch. 2 CEDH, qui interdit de rendre une décision défavorable au prévenu libéré en laissant entendre que ce dernier serait néanmoins coupable des infractions qui lui étaient reprochées. Elle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La relation de causalité est réalisée lorsque, selon le cours ordinaire des choses et l'expérience de la vie, le comportement de la personne concernée était de nature à provoquer l'ouverture de la procédure pénale et le dommage ou les frais que celle-ci a entraînés. Le juge doit se référer aux principes généraux de la responsabilité délictuelle ( ATF 116 Ia 162 consid. 2c p. 169) et fonder son prononcé sur des faits incontestés ou déjà clairement établis ( ATF 112 Ia 371 consid. 2a in fine p. 374).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t>Le Tribunal fédéral examine sous l'angle de l'arbitraire l'appréciation de l'autorité cantonale selon laquelle le comportement du prévenu libéré des fins de la poursuite pénale serait répréhensible du point de vue civil, aurait provoqué la procédure pénale ou en aurait entravé le cours ( ATF 116 Ia 162 consid. 2f p. 175). Il ne s'écarte donc pas de la solution retenue du seul fait qu'elle apparaît discutable ou même critiquable; il faut qu'elle soit manifestement insoutenable, et cela non seulement dans sa motivation mais dans son résultat ( ATF 135 V 2 consid. 1.3 p. 4/5; 134 I 140 consid. 5.4 p. 148 et les arrêts cités).</w:t>
      </w:r>
    </w:p>
    <w:p>
      <w:r>
        <w:rPr>
          <w:b/>
        </w:rPr>
        <w:t>E. 3.2</w:t>
      </w:r>
    </w:p>
    <w:p>
      <w:r>
        <w:t>En instance cantonale, le recourant a été mis en cause par le Ministère public pour faux dans les titres, d'une part au motif que le rapport de révision des comptes 1996 ne mentionnait pas le changement de méthode d'évaluation intervenu ni n'émettait de réserve quant au montant des provisions et, d'autre part, au motif que le rapport de révision des comptes 1997 n'indiquait pas que la provision de 250'000'000 fr. prévue au titre de "réserve pour risques potentiels futurs sur débiteurs" était destinée à couvrir des risques de débiteurs non déterminés.</w:t>
      </w:r>
    </w:p>
    <w:p>
      <w:r>
        <w:t>La cour cantonale a écarté cette infraction en considérant que les premiers juges avaient retenu une modification d'un paramètre de provisionnement, et non un changement de méthode d'évaluation, et que cette modification n'avait pas à être mentionnée dans le rapport de révision 1996 ni même à faire l'objet d'une quelconque réserve dans ce rapport, qui n'était donc pas mensonger. Quant aux autres reproches adressés au recourant, elle les a écartés en observant que l'intitulé "réserve pour risques potentiels futurs sur débiteurs" indiquait que la provision de 250'000'000 fr. était affectée à la garantie de débiteurs "douteux", ce qui ne signifiait pas "indéterminés", de sorte que les rapports de révision n'étaient pas non plus mensongers sur ce point.</w:t>
      </w:r>
    </w:p>
    <w:p>
      <w:r>
        <w:t>Le raisonnement par lequel la cour cantonale a justifié la condamnation du recourant à supporter une partie des frais de première instance (cf. supra, consid. 1.1) ne fait aucune allusion aux comportements dénoncés comme constitutifs de faux dans les titres. Il ne contient au demeurant rien qui donnerait à penser que le recourant se serait néanmoins rendu coupable de cette infraction. Ce dernier ne semble d'ailleurs pas réellement le soutenir.</w:t>
      </w:r>
    </w:p>
    <w:p>
      <w:r>
        <w:rPr>
          <w:b/>
        </w:rPr>
        <w:t>E. 3.3</w:t>
      </w:r>
    </w:p>
    <w:p>
      <w:r>
        <w:t>En ce qui concerne l'infraction de complicité de gestion déloyale, le Ministère public faisait valoir que le recourant, bien qu'informé du manque de provisions, avait laissé entendre qu'il n'y avait pas de mesure d'assainissement à prendre, hormis de signaler que les "autres provisions" étaient suffisantes pour couvrir celles pour débiteurs, et qu'il n'avait pas procédé à l'opération comptable qui s'imposait.</w:t>
      </w:r>
    </w:p>
    <w:p>
      <w:r>
        <w:t>Pour l'année 1996, la cour cantonale a nié la réalisation de cette infraction au motif qu'il n'était pas établi que le recourant, qui, en tant que réviseur, n'avait pas de pouvoir de gestion, cette responsabilité incombant aux organes de la banque, ait voulu que le problème de l'insuffisance de provisions soit complètement occulté par les dirigeants de la banque. Pour l'année 1997 et au-delà, elle a relevé que le recourant, bien qu'il était au courant du manque de provision, avait encouragé l'adoption de la nouvelle méthode de provisionnement ainsi que le fait de retenir le montant du risque technique T.________, de 10 % inférieur à celui usuellement retenu par la banque; en outre, le rapport de révision 1997 ne faisait aucune mention de l'insuffisance constatée au mois de juin 1997. Elle a toutefois considéré que ces manquements, parce qu'ils étaient postérieurs, et non antérieurs ou simultanés, à l'acte qui eût été imputable à l'auteur principal, n'étaient pas constitutifs de complicité de gestion déloyale, de sorte que le recourant devait être libéré de cette infraction.</w:t>
      </w:r>
    </w:p>
    <w:p>
      <w:r>
        <w:t>La cour cantonale a néanmoins estimé que les manquements relevés justifiaient de mettre partiellement les frais de première instance à la charge du recourant. C'est en effet essentiellement à raison de ces manquements qu'elle l'a condamné à en supporter une partie (cf. supra, consid. 1.1). A elle seule, cette similitude ne suffit cependant pas à fonder le grief de violation de la présomption d'innocence. La prévention de complicité de gestion déloyale a été abandonnée parce que la complicité constitue un acte de favorisation, qui doit nécessairement intervenir avant ou pendant l'acte principal, et que les manquements constatés lui étaient postérieurs. Cela ne change rien à l'existence de ces manquements, ni n'empêche qu'ils puissent justifier une condamnation à tout ou partie des frais, s'ils constituent un comportement fautif et contraire à une règle juridique, qui soit en relation de causalité avec les frais imputés.</w:t>
      </w:r>
    </w:p>
    <w:p>
      <w:r>
        <w:t>La question de savoir si ces conditions sont en l'occurrence réalisées ne peut être tranchée. La cour cantonale s'est en effet bornée à faire état des manquements reprochés et à affirmer qu'ils étaient constitutifs d'un comportement répréhensible, justifiant la condamnation du recourant à supporter une partie des frais. Elle n'a pas précisé à quelle règle de l'ordre juridique suisse le recourant aurait ainsi contrevenu de manière fautive, ni en quoi il aurait, de la sorte, provoqué l'ouverture de la procédure pénale et le dommage ou les frais que celle-ci a entraînés. Ainsi, le prononcé litigieux, faute d'être motivé de manière suffisante quant à la réalisation des conditions de l' art. 158 CPP /VD, ne permet pas de contrôler la conformité au droit constitutionnel de la condamnation du recourant à supporter une partie des frais de première instance. Le recours sur ce point est donc fondé.</w:t>
      </w:r>
    </w:p>
    <w:p>
      <w:r>
        <w:rPr>
          <w:b/>
        </w:rPr>
        <w:t>E. 4</w:t>
      </w:r>
    </w:p>
    <w:p>
      <w:r>
        <w:t>En conclusion, le recours doit être partiellement admis, l'arrêt attaqué annulé et la cause renvoyée à l'autorité cantonale pour nouvelle décision dans le sens des considérants.</w:t>
      </w:r>
    </w:p>
    <w:p>
      <w:r>
        <w:t>Le recourant n'obtient que partiellement gain de cause. Il devra donc supporter une partie des frais ( art. 66 al. 1 LTF ), le canton de Vaud étant dispensé d'en payer ( art. 66 al. 4 LTF ), et se verra allouer une indemnité de dépens réduite,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