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6B_998/2009 vom 21. Juni 2010</w:t>
      </w:r>
    </w:p>
    <w:p>
      <w:r>
        <w:t>Bundesgericht, 2010-06-21, FR</w:t>
      </w:r>
    </w:p>
    <w:p>
      <w:r>
        <w:rPr>
          <w:b/>
        </w:rPr>
        <w:t xml:space="preserve">Quelle: </w:t>
      </w:r>
      <w:r>
        <w:t>https://mcp.opencaselaw.ch/entscheid/bger_6B_998_2009</w:t>
      </w:r>
    </w:p>
    <w:p>
      <w:r>
        <w:t>FR: TF 6B_998/2009 du 21 juin 2010</w:t>
      </w:r>
    </w:p>
    <w:p>
      <w:r>
        <w:t>IT: TF 6B_998/2009 del 21 giugno 2010</w:t>
      </w:r>
    </w:p>
    <w:p>
      <w:pPr>
        <w:pStyle w:val="Heading2"/>
      </w:pPr>
      <w:r>
        <w:t>Erwägungen</w:t>
      </w:r>
    </w:p>
    <w:p>
      <w:r>
        <w:rPr>
          <w:b/>
        </w:rPr>
        <w:t>E. 1.1</w:t>
      </w:r>
    </w:p>
    <w:p>
      <w:r>
        <w:t>Le jugement attaqué a été rendu, en dernière instance cantonale, dans une cause de droit pénal. Il peut donc faire l'objet d'un recours en matière pénale au sens des art. 78 ss LTF , ce qui exclut le recours constitutionnel subsidiaire ( art. 113 LTF ) dont la teneur sera traitée comme faisant partie intégrante du recours en matière pénale (cf. ATF 131 I 291 consid. 1.3 p 296; 126 II 506 consid. 1b p. 509 et les arrêts cités).</w:t>
      </w:r>
    </w:p>
    <w:p>
      <w:r>
        <w:rPr>
          <w:b/>
        </w:rPr>
        <w:t>E. 1.2</w:t>
      </w:r>
    </w:p>
    <w:p>
      <w:r>
        <w:t>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une décision relative à la conduite de l'action pénale. Le simple lésé a exclusivement vocation à obtenir l'annulation d'une telle décision lorsque celle-ci a été rendue en violation de droits que la loi de procédure ou le droit constitutionnel applicable lui reconnaît comme partie à la procédure, si cette violation équivaut à un déni de justice formel. Ainsi, il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simple lésé ne peut contester ni l'appréciation des preuves, ni le rejet d'une réquisition de preuve motivé par l'appréciation anticipée de celle-ci ou par le défaut de pertinence juridique du fait à établir (cf. arrêt 6B_274/ 2009 du 16 février 2010 consid. 3.1.1 et les références; ATF 120 Ia 157 consid. 2 p. 159 ss).</w:t>
      </w:r>
    </w:p>
    <w:p>
      <w:r>
        <w:rPr>
          <w:b/>
        </w:rPr>
        <w:t>E. 1.3.1</w:t>
      </w:r>
    </w:p>
    <w:p>
      <w:r>
        <w:t>Les recourants contestent le refus de suivre à la plainte visant le compliance officer de la Banque Z.________ auquel ils reprochent de n'avoir pas vérifié l'identité des ayants droit économiques des fonds investis auprès du groupe Baumann en violation de l' art. 305ter CP . En particulier, ils se plaignent d'une violation de leur droit d'être entendus, du fait que le magistrat instructeur n'a pas donné suite aux mesures d'instruction requises en vue d'établir les omissions précitées. En outre, ils font valoir une violation des art. 8 ainsi que 345 CP, 28 al. 1 let. g LTPF et 279 PPF pour le motif que ce même juge a prononcé un refus de suivre faute de compétence rationae loci sans transmettre le dossier aux autorités cantonales compétentes.</w:t>
      </w:r>
    </w:p>
    <w:p>
      <w:r>
        <w:rPr>
          <w:b/>
        </w:rPr>
        <w:t>E. 1.3.2</w:t>
      </w:r>
    </w:p>
    <w:p>
      <w:r>
        <w:t>Selon l' art. 305ter CP ,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 sera puni d'une peine privative de liberté d'un an au plus ou d'une peine pécuniaire (al. 1). Les personnes visées à l'al. 1 ont le droit de communiquer au Bureau de communication en matière de blanchiment d'argent de l'Office fédéral de la police les indices fondant le soupçon que des valeurs patrimoniales proviennent d'un crime (al. 2).</w:t>
      </w:r>
    </w:p>
    <w:p>
      <w:r>
        <w:t>Comme indiqué par la juridiction cantonale, le bien juridique ainsi protégé est l'administration de la justice, car la conclusion d'affaires dont les protagonistes ne sont pas connus met en danger les prétentions de l'Etat à la confiscation ( ATF 125 IV 139 consid. 3a p. 142). Faute de pouvoir être lésés par une violation de cette disposition, les recourants n'ont pas d'intérêt juridique à la modification de la décision attaquée et ne disposent par conséquent pas de la qualité pour recourir (cf. art. 81 al. 1 let. b LTF ), de sorte que leur pourvoi est irrecevable.</w:t>
      </w:r>
    </w:p>
    <w:p>
      <w:r>
        <w:rPr>
          <w:b/>
        </w:rPr>
        <w:t>E. 2</w:t>
      </w:r>
    </w:p>
    <w:p>
      <w:r>
        <w:t>Les recourants, qui succombent, supportent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