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996/2021 vom 31. Mai 2022</w:t>
      </w:r>
    </w:p>
    <w:p>
      <w:r>
        <w:t>Bundesgericht, 2022-05-31, FR</w:t>
      </w:r>
    </w:p>
    <w:p>
      <w:r>
        <w:rPr>
          <w:b/>
        </w:rPr>
        <w:t xml:space="preserve">Quelle: </w:t>
      </w:r>
      <w:r>
        <w:t>https://mcp.opencaselaw.ch/entscheid/bger_6B_996_2021</w:t>
      </w:r>
    </w:p>
    <w:p>
      <w:r>
        <w:t>FR: TF 6B 996/2021 du 31 mai 2022</w:t>
      </w:r>
    </w:p>
    <w:p>
      <w:r>
        <w:t>IT: TF 6B 996/2021 del 31 maggio 2022</w:t>
      </w:r>
    </w:p>
    <w:p>
      <w:pPr>
        <w:pStyle w:val="Heading2"/>
      </w:pPr>
      <w:r>
        <w:t>Regeste</w:t>
      </w:r>
    </w:p>
    <w:p>
      <w:r>
        <w:t>Ordonnance de classement partiel (usure)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Pour être directement touché, le lésé doit en outre subir une atteinte en rapport de causalité directe avec l'infraction poursuivie, ce qui exclut les dommages par ricochet (arrêts 6B_794/2021 du 21 mars 2022 consid. 1.1; 6B_988/2021 du 2 février 2022 consid. 1.1; 6B_103/2021 du 26 avril 2021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(parmi d'autres: arrêts 6B_794/2021 précité consid. 1.1; 6B_988/2021 précité consid. 1.1; 6B_650/2021 du 28 juin 2021 consid. 2.1).</w:t>
      </w:r>
    </w:p>
    <w:p>
      <w:r>
        <w:rPr>
          <w:b/>
        </w:rPr>
        <w:t>E. 1.2</w:t>
      </w:r>
    </w:p>
    <w:p>
      <w:r>
        <w:t>La recourante s'estime victime d'usure de la part de l'intimée, qui aurait conduit à son appauvrissement. Elle fait valoir qu'elle a ainsi subi un préjudice qui lui donne droit à des prétentions civiles, lesquelles ont été chiffrées en date du 24 juin 2019 auprès du ministère public. Il ressort de son mémoire de recours que celle-ci réclame, pour la période allant de 2005 à 2018, un montant de 17'749 fr. 05, à titre d'indemnisation pour les vacances non prises et à titre de différence entre le minimum prévu par le Contrat-type de travail avec salaires minimaux impératifs de l'économie domestique (CTT-EDom; J 1 50.03) et le salaire qu'elle a perçu, ainsi qu'un montant de 370'771 fr. 40 à titre d'heures supplémentaires non payées. Les éléments invoqués par la recourante sont suffisants pour comprendre les prétentions civiles en jeu et permettent de lui reconnaître la qualité pour recourir s'agissant de l'infraction d'usure.</w:t>
      </w:r>
    </w:p>
    <w:p>
      <w:r>
        <w:rPr>
          <w:b/>
        </w:rPr>
        <w:t>E. 2</w:t>
      </w:r>
    </w:p>
    <w:p>
      <w:r>
        <w:t>La recourante se plaint d'un établissement arbitraire des faits.</w:t>
      </w:r>
    </w:p>
    <w:p>
      <w:r>
        <w:rPr>
          <w:b/>
        </w:rPr>
        <w:t>E. 2.1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 cf. récemment arrêt 6B_794/2021 du 21 mars 2022 consid. 5.2 et les références citées). Les critiques de nature appellatoire sont irrecevables ( ATF 145 IV 154 consid. 1.1 p. 156).</w:t>
      </w:r>
    </w:p>
    <w:p>
      <w:r>
        <w:rPr>
          <w:b/>
        </w:rPr>
        <w:t>E. 2.2</w:t>
      </w:r>
    </w:p>
    <w:p>
      <w:r>
        <w:t>La recourante soutient que l'arrêt entrepris omet arbitrairement d'examiner les horaires qu'elle a effectués durant ces longues années auprès de son employeuse et considère à tort que les horaires excessifs dont elle se plaint n'ont pas été établis.</w:t>
      </w:r>
    </w:p>
    <w:p>
      <w:r>
        <w:rPr>
          <w:b/>
        </w:rPr>
        <w:t>E. 2.2.1</w:t>
      </w:r>
    </w:p>
    <w:p>
      <w:r>
        <w:t>La cour cantonale a retenu que la recourante avait toujours été rémunérée correctement. Son salaire ne respectait certes pas exactement ce que prévoit le CTT-EDom, mais ne s'en écartait pas suffisamment pour que l'on puisse retenir autre chose qu'une éventuelle prétention civile. Les horaires excessifs dont elle se plaignait n'étaient pas établis et paraissaient peu compatibles avec la situation d'espèce. En effet, dès que l'enfant allait à l'école, alors que sa mère travaillait en tout cas à mi-temps, la recourante disposait d'une totale liberté d'organisation de son temps de travail et rien ne laissait supposer que l'appartement dans lequel elle se trouvait la journée était d'une taille et d'un aménagement tels qu'il justifiait à lui seul une activité hebdomadaire soutenue. Par ailleurs, la cour cantonale a relevé que le fait qu'il n'était occupé que par une mère et son fils n'induisait pas non plus la nécessité d'une activité intense et rien n'avait été allégué à ce sujet.</w:t>
      </w:r>
    </w:p>
    <w:p>
      <w:r>
        <w:rPr>
          <w:b/>
        </w:rPr>
        <w:t>E. 2.2.2</w:t>
      </w:r>
    </w:p>
    <w:p>
      <w:r>
        <w:t>La recourante soutient que rien ne permet de s'écarter des horaires de travail qu'elle a allégués, soit du lundi au vendredi de 7h30 à 19h30 (12 heures par jour) et un samedi sur deux de 8h à 12h (4 heures), dès 1999 jusqu'au mois de septembre 2017. Elle prétend qu'elle effectuait en moyenne mensuellement 95 heures supplémentaires par rapport aux 45 heures hebdomadaires prévues dans la CTT-EDom. Elle soutient que c'est de manière arbitraire que la cour cantonale a retenu que les horaires excessifs étaient peu compatibles avec la situation d'espèce. Ceux-ci seraient en effet corroborés par les employées D.________ et E.________ ainsi que par des proches de la recourante, F.________ et G.________. En réalité, en soutenant que la cour cantonale aurait dû retenir les horaires de travail allégués, la recourante oppose essentiellement son appréciation à celle de la cour cantonale, dans une démarche essentiellement appellatoire et, partant, irrecevable. Par ailleurs, s'il ressort effectivement de l'audition de E.________, qui travaillait chez l'intimée au moment de son interpellation, que celle-ci effectuait parfois des heures supplémentaires qui étaient réglées de la main à la main, on ne voit pas en quoi cet élément démontrerait que l'horaire de travail allégué par la recourante serait exact. On ne voit pas davantage en quoi le témoignage de l'employée D.________ permettrait de confirmer ledit horaire allégué et la recourante ne le précise pas. Il en va de même du témoignage de F.________, qui a d'ailleurs déclaré qu'elle "ne connaissait pas [l]es conditions de travail [de la recourante] mais avait l'impression qu'elle était contente" (arrêt attaqué, p. 7). Quant à la soeur de la recourante, elle a certes déclaré que celle-ci travaillait beaucoup pour l'intimée, mais aussi qu'elle ne connaissait ni ses horaires ni ses conditions de travail, précisant au demeurant que sa soeur avait été satisfaite de son salaire jusqu'à ce qu'il soit baissé après le départ de C.________ en 2017. Plus loin dans son recours, la recourante ajoute encore qu'il ressortirait de différentes auditions de témoins qu'elle était particulièrement dévouée dans son travail et soutient que la "grande indépendance dans l'organisation de son travail" se manifestait en réalité par une obligation d'être disponible en permanence. Or, les témoignages cités par la recourante ne rendent pas arbitraire le fait de retenir, comme l'a fait la cour cantonale, que la recourante disposait d'une liberté d'organisation dès lors notamment que, durant la journée, le fils de l'intimée était à l'école et celle-ci était au travail. Au demeurant, il convient de rappeler que la recourante a elle-même déclaré que lorsqu'elle devait garder C.________ en dehors de ses heures, elle était rémunérée pour cela.</w:t>
      </w:r>
    </w:p>
    <w:p>
      <w:r>
        <w:rPr>
          <w:b/>
        </w:rPr>
        <w:t>E. 2.2.3</w:t>
      </w:r>
    </w:p>
    <w:p>
      <w:r>
        <w:t>Il s'ensuit que la cour cantonale n'a pas versé dans l'arbitraire en retenant que les horaires excessifs dont la recourante se plaignait n'étaient pas établis et que celle-ci n'avait donc pas effectué les 95 heures supplémentaires mensuellement sans être rémunérée.</w:t>
      </w:r>
    </w:p>
    <w:p>
      <w:r>
        <w:rPr>
          <w:b/>
        </w:rPr>
        <w:t>E. 2.3</w:t>
      </w:r>
    </w:p>
    <w:p>
      <w:r>
        <w:t>La recourante reproche ensuite à la cour cantonale d'avoir retenu comme "avantages" perçus son hébergement, le scooter mis à sa disposition, les billets d'avion achetés par l'intimée pour elle et ses frais médicaux.</w:t>
      </w:r>
    </w:p>
    <w:p>
      <w:r>
        <w:rPr>
          <w:b/>
        </w:rPr>
        <w:t>E. 2.3.1</w:t>
      </w:r>
    </w:p>
    <w:p>
      <w:r>
        <w:t>A cet égard, la cour cantonale a retenu que la recourante avait toujours été logée dans des conditions qui ne souffraient aucune critique. Elle disposait, à tout le moins dès 2006, d'un logement individuel de qualité, indépendant, et d'un scooter pour ses déplacements. Par ailleurs, la cour cantonale a considéré que les récriminations concernant les vacances paraissaient aussi infondées, la recourante ayant pu, à chaque fois qu'elle le souhaitait, retourner aux Philippines, son employeuse lui payant alors ses billets d'avion et son salaire. Par ailleurs, l'accompagnement de l'enfant du couple lorsqu'il séjournait auprès du parent non gardien ne relevait pas non plus de l'usure, car la recourante n'avait pas à travailler, disposait d'une chambre et pouvait s'adonner aux loisirs qu'elle souhaitait.</w:t>
      </w:r>
    </w:p>
    <w:p>
      <w:r>
        <w:rPr>
          <w:b/>
        </w:rPr>
        <w:t>E. 2.3.2</w:t>
      </w:r>
    </w:p>
    <w:p>
      <w:r>
        <w:t>S'agissant de l'hébergement et du paiement des billets d'avion pour les Philippines, il y a lieu de retenir que ceux-ci constituent clairement des avantages en nature dont il sied de tenir compte dans le calcul du montant perçu par la recourante, ce que celle-ci semble d'ailleurs elle-même reconnaître. Pour le surplus, on ne saurait reprocher à la cour cantonale d'avoir versé dans l'arbitraire en retenant que la mise à disposition d'un scooter constituait un avantage, étant précisé que celle-ci n'a jamais prétendu que l'intimée l'aurait donné à la recourante à la fin des rapports de travail. Pour ce qui est des vacances, la recourante ne fait pas valoir que l'appréciation de la cour cantonale serait arbitraire et tel n'apparaît pas être le cas, étant rappelé qu'il ressort de ses propres déclarations qu'elle a effectué chaque année au moins un voyage aux Philippines et qu'elle recevait son salaire lorsqu'elle partait en vacances (cf. PV d'audience du 23 mai 2019, p. 2: pièce C-1'333 du dossier cantonal; art. 105 al. 2 LTF ). Il s'ensuit que le grief de la recourante est rejeté dans la mesure où il est recevable.</w:t>
      </w:r>
    </w:p>
    <w:p>
      <w:r>
        <w:rPr>
          <w:b/>
        </w:rPr>
        <w:t>E. 2.4</w:t>
      </w:r>
    </w:p>
    <w:p>
      <w:r>
        <w:t>Enfin, s'agissant des séjours chez le parent non gardien, la recourante reproche à la cour cantonale d'avoir versé dans l'arbitraire en retenant qu'elle n'avait pas à travailler et qu'elle pouvait s'adonner aux loisirs qu'elle souhaitait. Elle soutient qu'elle n'a bénéficié qu'à quelques occasions d'une location d'une paire de skis pour se rendre sur les pistes afin d'apprendre le ski, pour pouvoir accompagner C.________. Ce faisant, elle se contente en réalité d'opposer sa propre appréciation à celle de la cour cantonale sans démontrer en quoi l'autorité précédente aurait admis arbitrairement que certains faits étaient clairement établis, étant au demeurant relevé qu'elle ne conteste pas que le père de C.________ disposait de son propre personnel. Le grief est rejeté dans la mesure où il est recevable.</w:t>
      </w:r>
    </w:p>
    <w:p>
      <w:r>
        <w:rPr>
          <w:b/>
        </w:rPr>
        <w:t>E. 3</w:t>
      </w:r>
    </w:p>
    <w:p>
      <w:r>
        <w:t>La recourante se plaint de violations du principe "in dubio pro duriore" dans l'examen de l'infraction d'usure ( art. 157 CP ). Elle soutient que rien ne permettait de douter de ses déclarations, de sorte qu'en vertu du principe "in dubio pro duriore" il convenait de renvoyer l'intimée en jugement.</w:t>
      </w:r>
    </w:p>
    <w:p>
      <w:r>
        <w:rPr>
          <w:b/>
        </w:rPr>
        <w:t>E. 3.1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6B_957/2021 précité consid. 2.4; 6B_277/2021 du 10 février 2022 consid. 3.1.3; 6B_258/2021 du 12 juillet 2021 consid. 2.2).</w:t>
      </w:r>
    </w:p>
    <w:p>
      <w:r>
        <w:rPr>
          <w:b/>
        </w:rPr>
        <w:t>E. 3.3</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6B_794/2021 du 21 mars 2022 consid. 5.3; 6B_875/2020 du 15 avril 2021 consid. 4.1; 6B_430/2020 du 26 août 2020 consid. 2.1). L'avantage pécuniaire obtenu doit être en disproportion évidente, sur le plan économique, avec la prestation fournie. Elle doit être évaluée de manière objective ( ATF 130 IV 106 consid. 7.2 p. 109). Le rapport entre la prestation et la contre-prestation se mesure dans le cas normal selon le prix ou la rémunération usuels pour des choses ou des services de même espèce ( ATF 93 IV 85 consid. 2 p. 87 s.; 92 IV 132 consid. 1 p. 134; plus récemment: arrêts 6B_875/2020 précité consid. 4.1; 6B_301/2020 du 28 avril 2020 consid. 1.1.4).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 ATF 92 IV 132 consid. 1 p. 134 s.; arrêt 6B_875/2020 précité consid. 4.1 et la référence citée). Dans la doctrine, une limite de l'ordre de 20 % est évoquée pour les domaines réglementés; pour les autres domaines, il y a usure, dans tous les cas, dès 35 % (arrêts 6B_875/2020 précité consid. 4.1; 6B_918/2018 du 24 avril 2019 consid. 2.4.3; d'un autre avis: URSULA CASSANI, Liberté contractuelle et protection pénale de la partie faible: l'usure, une infraction en quête de sens, in: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(cf. ATF 130 IV 106 consid. 7.2 p. 109; 93 IV 85 consid. 2 p. 88; arrêt 6B_875/2020 précité consid. 4.1). Du point de vue subjectif, l'infraction est intentionnelle. Le dol éventuel suffit ( ATF 130 IV 106 consid. 7.2 p. 109). L'intention doit porter sur la disproportion évidente entre la prestation et la contre-prestation ainsi que sur la situation de faiblesse de la victime (arrêts 6B_794/2021 précité consid. 5.3; 6B_649/2020 du 2 octobre 2020 consid. 2.1; 6B_430/2020 précité consid. 2.1).</w:t>
      </w:r>
    </w:p>
    <w:p>
      <w:r>
        <w:rPr>
          <w:b/>
        </w:rPr>
        <w:t>E. 3.4</w:t>
      </w:r>
    </w:p>
    <w:p>
      <w:r>
        <w:t>La recourante reproche à la cour cantonale de n'avoir ni examiné ni retenu qu'elle était dans une situation de faiblesse au sens de l' art. 157 ch. 1 CP . Sur plusieurs pages, elle invoque de nombreux faits qui ne ressortent pas de l'arrêt attaqué sans démontrer l'arbitraire de leur omission de sorte que ceux-ci sont irrecevables. Il en va ainsi lorsqu'elle soutient qu'elle était "tributaire de la volonté de son employeuse et des informations transmises par celle-ci", que l'intimée aurait exploité l'amour qu'elle portait à l'égard de son fils ou qu'elle ne connaissait personne en dehors de cette dernière. En l'occurrence, la question de savoir si la recourante se trouvait dans une situation de faiblesse, en particulier de gêne ou de dépendance, dont l'intimée ne pouvait qu'être consciente, peut demeurer indécise dès lors qu'il n'apparaît pas, au terme de l'instruction conduite, qu'il y avait disproportion évidente entre le travail fourni et le salaire versé (cf. infra consid. 3.6).</w:t>
      </w:r>
    </w:p>
    <w:p>
      <w:r>
        <w:rPr>
          <w:b/>
        </w:rPr>
        <w:t>E. 3.5</w:t>
      </w:r>
    </w:p>
    <w:p>
      <w:r>
        <w:t>En tant que la recourante revient sur le fait qu'elle n'aurait pas été rémunérée correctement et sur le nombre d'heures supplémentaires qu'elle aurait effectuées, il sied de renvoyer au consid. 2.2 supra.</w:t>
      </w:r>
    </w:p>
    <w:p>
      <w:r>
        <w:rPr>
          <w:b/>
        </w:rPr>
        <w:t>E. 3.6</w:t>
      </w:r>
    </w:p>
    <w:p>
      <w:r>
        <w:t>S'agissant de l'élément constitutif de la disproportion évidente entre l'avantage pécuniaire et la contre-prestation, il y a lieu de relever que, même en retenant les chiffres allégués par la recourante, soit un revenu mensuel allant de 2'600 fr. (en 2005) à 3'000 fr. (dès 2011 jusqu'en septembre 2017, date à partir de laquelle le fils de l'intimée a quitté la Suisse et la recourante a réduit son temps de travail, ne venant plus que l'après-midi pour un salaire mensuel de 2'100 fr.), auquel s'ajouterait 990 fr. en nature pour le studio indépendant meublé (charges comprises) fourni par l'intimée à la recourante, l'écart entre ce qui a été versé annuellement à cette dernière (de 45'500 fr. à 51'870 fr.) et ce qui est prévu par le CTT-EDom (4'188 fr. 60 x 13 = 54'451 fr. 80) n'apparaît pas excéder la limite de 20 % évoquée par une partie de la doctrine pour les domaines réglementés, sans qu'il faille ici déterminer spécifiquement quelle limite serait adéquate. Par ailleurs, en tant que la recourante soutient que l'intimée a perçu un avantage financier bien supérieur à 20 % en se fondant sur le fait qu'elle n'aurait pas toujours pris ses quatre semaines de vacances par année, qu'elle n'aurait pas été rémunérée pour les vacances non prises et qu'elle aurait effectué de nombreuses heures supplémentaires non payées, elle s'écarte des faits retenus par la cour cantonale sans démontrer que ceux-ci auraient été établis de manière arbitraire (cf. supra consid. 2.2.3), étant au demeurant relevé qu'il ressort des déclarations de la recourante du 23 mai 2019 qu'elle n'a jamais auparavant demandé de salaire supplémentaire pour ces heures et qu'elle était payée lorsqu'elle gardait l'enfant de l'intimée en dehors des heures (cf. PV d'audience du 23 mai 2019, p. 2). Concernant les vacances, il y a lieu de rappeler qu'il ressort des faits de l'arrêt attaqué qu'elle avait un mois de vacances par année (deux semaines en été et deux semaines en fin d'année) et des déclarations de la recourante elle-même, lors de son audition du 23 mai 2019 au ministère public, qu'elle partait chaque année aux Philippines, parfois deux fois par année - voyages pour lesquels l'intimée payait les billets d'avion -, qu'elle recevait son salaire lorsqu'elle partait en vacances et qu'en 2002 elle a passé six mois aux Philippines durant lesquels elle a reçu trois mois de salaire (cf. PV d'audience du 23 mai 2019, p. 2 à 5).</w:t>
      </w:r>
    </w:p>
    <w:p>
      <w:r>
        <w:rPr>
          <w:b/>
        </w:rPr>
        <w:t>E. 3.7</w:t>
      </w:r>
    </w:p>
    <w:p>
      <w:r>
        <w:t>Pour le surplus, la recourante ne précise pas quelles autres mesures d'instruction seraient à même d'établir que l'intimée aurait obtenu une contre-prestation disproportionnée en exploitant sa faiblesse, étant relevé qu'à la suite de l'avis de prochaine clôture de l'instruction du 6 octobre 2020, par lequel le ministère public a notamment informé les parties qu'il rédigerait une ordonnance de classement partiel s'agissant de l'infraction d'usure reprochée à l'intimée (cf. pièce C-1'514 du dossier cantonal; art. 105 al. 2 LTF ), la recourante a informé celui-ci qu'elle n'avait pas de réquisitions de preuves à formuler (pièce C-1'577 du dossier cantonal; art. 105 al. 2 LTF ).</w:t>
      </w:r>
    </w:p>
    <w:p>
      <w:r>
        <w:rPr>
          <w:b/>
        </w:rPr>
        <w:t>E. 3.8</w:t>
      </w:r>
    </w:p>
    <w:p>
      <w:r>
        <w:t>Au vu de ce qui précède, les juges précédents étaient fondés à considérer qu'à l'issue de l'instruction, les éléments du dossier permettaient déjà à ce stade de considérer que les probabilités d'un acquittement de l'intimée étaient largement plus élevées que celles d'une condamnation, l'un des éléments constitutifs de l'infraction d'usure faisant défaut. La cour cantonale pouvait dès lors, sans violer le droit fédéral, confirmer le classement ordonné par le procureur. Il s'ensuit que les griefs soulevés par la recourante en lien avec le principe "in dubio pro duriore" et l' art. 157 CP s'avèrent mal fondés et doivent par conséquent être rejetés.</w:t>
      </w:r>
    </w:p>
    <w:p>
      <w:r>
        <w:rPr>
          <w:b/>
        </w:rPr>
        <w:t>E. 4</w:t>
      </w:r>
    </w:p>
    <w:p>
      <w:r>
        <w:t>La recourante ne conteste plus devant le Tribunal fédéral le classement implicite de sa plainte pour discrimination raciale et pour injure, de sorte qu'il n'y a pas lieu d'y revenir.</w:t>
      </w:r>
    </w:p>
    <w:p>
      <w:r>
        <w:rPr>
          <w:b/>
        </w:rPr>
        <w:t>E. 5</w:t>
      </w:r>
    </w:p>
    <w:p>
      <w:r>
        <w:t>Au vu de ce qui précède, le recours doit être rejeté dans la mesure où il est recevable. Ses conclusions étaient dénuées de chances de succès, ce qui conduit au refus de l'assistance judiciaire ( art. 64 al. 1 LTF ). La recourante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