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996/2020 vom 2. Februar 2021</w:t>
      </w:r>
    </w:p>
    <w:p>
      <w:r>
        <w:t>Bundesgericht, 2021-02-02, FR</w:t>
      </w:r>
    </w:p>
    <w:p>
      <w:r>
        <w:rPr>
          <w:b/>
        </w:rPr>
        <w:t xml:space="preserve">Quelle: </w:t>
      </w:r>
      <w:r>
        <w:t>https://mcp.opencaselaw.ch/entscheid/bger_6B_996_2020</w:t>
      </w:r>
    </w:p>
    <w:p>
      <w:r>
        <w:t>FR: TF 6B 996/2020 du 2 février 2021</w:t>
      </w:r>
    </w:p>
    <w:p>
      <w:r>
        <w:t>IT: TF 6B 996/2020 del 2 febbraio 2021</w:t>
      </w:r>
    </w:p>
    <w:p>
      <w:pPr>
        <w:pStyle w:val="Heading2"/>
      </w:pPr>
      <w:r>
        <w:t>Regeste</w:t>
      </w:r>
    </w:p>
    <w:p>
      <w:r>
        <w:t>Ordonnance de non-entrée en matière (menace et contrainte)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sont dirigées contre l'accusé et découlent directement de la commission de l'infraction.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Les recourants réclament chacun une indemnité pour tort moral de 5'000 fr., à savoir au total 10'000 francs. Ils font également valoir à l'encontre de C.________ SA une créance de 8'237 fr. 04 selon le décompte de l'Office des poursuites de Bern-Mitteland et de 6'423 fr. 20 pour les honoraires d'avocat. Les prétentions civiles au sens de l'art. 81 al. 1 let. b ch. 5 LTF peuvent consister en la réparation du tort moral.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6B_210/2020 du 11 novembre 2020 consid. 1.2.2; 6B_17/2020 du 7 avril 2020 consid. 1.1; 6B_673/2019 du 31 octobre 2019 consid. 1.1; 6B_637/2019 du 8 août 2019 consid. 1.2 et les références citées). Par leur argumentation, les recourants allèguent que cette affaire les a fortement atteints dans leur santé. A l'appui de leur recours cantonal, ils ont produit différentes pièces, notamment des rendez-vous pour des consultations dermatologiques ou des interventions chirurgicales en ambulatoires et des factures des HUG. De la sorte, ils ne démontrent toutefois pas que les atteintes à leur santé atteindraient la gravité objective et subjective exigée par la jurisprudence, ni n'établissent que les faits dénoncés sont à l'origine de leurs problèmes de santé. La gravité de l'atteinte censée découler des infractions dénoncées ne s'impose pas comme une évidence. De simples affirmations, même accompagnées des pièces précitées, ne sont pas suffisantes eu égard aux exigences de motivation découlant de l' art. 42 al. 2 LTF . La qualité pour recourir selon l'art. 81 al. 1 let. a et b ch. 5 LTF doit donc leur être refusée sous cet angle. En outre, les recourants font état des frais liés à la poursuite dirigée conte C.________ SA et des frais d'avocat. Selon une jurisprudence bien établie, les frais liés aux démarches judiciaires de la partie plaignante ne sauraient constituer des prétentions civiles au sens de l'art. 81 al. 1 let. a et b ch. 5 LTF en tant qu'ils ne découlent pas directement de l'infraction (cf. arrêts 6B_290/2020 du 17 juillet 2020 consid. 1.2; 6B_682/2020 du 2 juillet 2020 consid. 2.2). En tant qu'ils font valoir de telles prétentions, les recourants n'ont donc pas non plus la qualité pour recourir selon l'art. 81 al. 1 let. a et b ch. 5 LTF. Enfin, les recourants ne soulèvent aucun grief quant à leur droit de porter plainte, de sorte que l'hypothèse visée à l'art. 81 al. 1 let. b ch. 6 LTF n'entre pas en considération. En conclusion, les recourants n'ont pas la qualité pour recourir sur le fond de la cause en application de l' art. 81 LTF .</w:t>
      </w:r>
    </w:p>
    <w:p>
      <w:r>
        <w:rPr>
          <w:b/>
        </w:rPr>
        <w:t>E. 2.1</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141 IV 1 consid. 1.1 p. 5; 136 IV 41 consid. 1.4 p. 44, 29 consid. 1.9 p. 40; 133 IV 228 consid. 2.3.2 p. 232 s. et les références citées).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Mais il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rPr>
          <w:b/>
        </w:rPr>
        <w:t>E. 2.2</w:t>
      </w:r>
    </w:p>
    <w:p>
      <w:r>
        <w:t>Les recourants se plaignent en l'espèce de la violation du droit d'être entendu et de déni de justice, reprochant de manière générale à la cour cantonale d'avoir omis de se prononcer sur leurs allégués et sur les preuves à l'origine de l'argent. Par cette argumentation très générale, ils s'en prennent à nouveau au fond de la cause, de sorte que leurs griefs sont irrecevables.</w:t>
      </w:r>
    </w:p>
    <w:p>
      <w:r>
        <w:rPr>
          <w:b/>
        </w:rPr>
        <w:t>E. 3</w:t>
      </w:r>
    </w:p>
    <w:p>
      <w:r>
        <w:t>Le recours doit être déclaré irrecevable. Les recourants, qui succombent, supportent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