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6B_996/2014 vom 8. September 2015</w:t>
      </w:r>
    </w:p>
    <w:p>
      <w:r>
        <w:t>Bundesgericht, 2015-09-08, FR</w:t>
      </w:r>
    </w:p>
    <w:p>
      <w:r>
        <w:rPr>
          <w:b/>
        </w:rPr>
        <w:t xml:space="preserve">Quelle: </w:t>
      </w:r>
      <w:r>
        <w:t>https://mcp.opencaselaw.ch/entscheid/bger_6B_996_2014</w:t>
      </w:r>
    </w:p>
    <w:p>
      <w:r>
        <w:t>FR: TF 6B_996/2014 du 8 septembre 2015</w:t>
      </w:r>
    </w:p>
    <w:p>
      <w:r>
        <w:t>IT: TF 6B_996/2014 del 8 settembre 2015</w:t>
      </w:r>
    </w:p>
    <w:p>
      <w:pPr>
        <w:pStyle w:val="Heading2"/>
      </w:pPr>
      <w:r>
        <w:t>Erwägungen</w:t>
      </w:r>
    </w:p>
    <w:p>
      <w:r>
        <w:rPr>
          <w:b/>
        </w:rPr>
        <w:t>E. 1</w:t>
      </w:r>
    </w:p>
    <w:p>
      <w:r>
        <w:t>Le recourant soutient que la peine qui lui a été infligée viole le droit fédéral.</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t>La cour cantonale a tenu compte de la gravité objective des faits, de la manière d'opérer, qui a nécessité une organisation et une planification passablement élaborées, un réel sang-froid et une absence de scrupules qui témoignent d'une capacité élevée à transgresser les limites de l'ordre juridique. Elle a en outre relevé les antécédents particulièrement défavorables du recourant qui, à 27 ans, avait déjà été condamné à 5 reprises à des peines privatives de liberté allant jusqu'à 3 mois et dont 3 n'étaient pas assorties du sursis.</w:t>
      </w:r>
    </w:p>
    <w:p>
      <w:r>
        <w:t>Le recourant reproche à la cour cantonale d'avoir omis de prendre en considération sa situation personnelle. La cour cantonale n'a pas ignoré ce point. En effet, si elle n'aborde pas cette question dans le cadre du considérant consacré à la fixation de la peine, la cour cantonale relève toutefois, dans le contexte de celui relatif au sursis, que le recourant est père d'un enfant et vit avec la mère de celui-ci. Le recourant ne précise par ailleurs pas en quoi ces éléments devraient influencer spécialement la peine.</w:t>
      </w:r>
    </w:p>
    <w:p>
      <w:r>
        <w:t>Le recourant reproche enfin à l'autorité cantonale d'avoir omis d'examiner l'effet de la peine sur son avenir.</w:t>
      </w:r>
    </w:p>
    <w:p>
      <w:r>
        <w:t>Ce critère est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De telles circonstances ne sont pas données en l'espèce et le recourant lui-même ne prétend pas que ce serait le cas.</w:t>
      </w:r>
    </w:p>
    <w:p>
      <w:r>
        <w:t>Par ailleurs, la cour cantonale n'est pas sortie du cadre légal et il n'apparaît pas qu'elle se serait fondée sur des critères non pertinents. Au surplus, la peine infligée au recourant n'apparaît pas exagérément sévère au point de constituer un abus du large pouvoir d'appréciation dont dispose le juge. Le grief de violation de l' art. 47 CP doit être rejeté.</w:t>
      </w:r>
    </w:p>
    <w:p>
      <w:r>
        <w:rPr>
          <w:b/>
        </w:rPr>
        <w:t>E. 2</w:t>
      </w:r>
    </w:p>
    <w:p>
      <w:r>
        <w:t>Invoquant le fait qu'il n'a plus eu de démêlé avec la justice depuis longtemps et qu'il est devenu père, le recourant soutient que le refus de le mettre au bénéfice du sursis complet viole le droit fédéral.</w:t>
      </w:r>
    </w:p>
    <w:p>
      <w:r>
        <w:t>Aux termes de l' art. 42 al. 1 CP , le juge suspend en règle générale l'exécution d'une peine privative de liberté de six mois au moins et de deux ans au plus lorsqu'une peine ferme ne paraît pas nécessaire pour détourner l'auteur d'autres crimes ou délits. Par ailleurs, en vertu de l' art. 43 CP , le juge peut suspendre partiellement l'exécution d'une peine privative de liberté d'un an au moins et de trois ans au plus afin de tenir compte de façon appropriée de la faute de l'auteur. La partie à exécuter ne peut excéder la moitié de la peine; elle doit, comme la partie suspendue, être de six mois au moins.</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 ATF 134 IV 1 consid. 5.3.1 p. 10).</w:t>
      </w:r>
    </w:p>
    <w:p>
      <w:r>
        <w:t>S'agissant du pronostic, la question de savoir si le sursis est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t>Les précédentes condamnations du recourant ne l'ont pas empêché de commettre de nouvelles infractions, de sorte que c'est à juste titre que la cour cantonale a estimé qu'il en découlait un pronostic hautement incertain. Contrairement à ce que soutient le recourant, elle n'a pas ignoré le fait que sa dernière condamnation remonte à 2009 ni la modification de sa situation familiale. C'est en effet précisément eu égard à ces éléments que la cour cantonale a considéré que le pronostic n'était pas totalement défavorable et a prononcé un sursis partiel. Il n'apparaît pas que cette décision procède d'un abus du large pouvoir d'appréciation reconnu à la cour cantonale dans ce domaine.</w:t>
      </w:r>
    </w:p>
    <w:p>
      <w:r>
        <w:rPr>
          <w:b/>
        </w:rPr>
        <w:t>E. 3</w:t>
      </w:r>
    </w:p>
    <w:p>
      <w:r>
        <w:t>Mal fondé, le recours doit être rejeté.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