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996/2013 vom 22. Januar 2014</w:t>
      </w:r>
    </w:p>
    <w:p>
      <w:r>
        <w:t>Bundesgericht, 2014-01-22, FR</w:t>
      </w:r>
    </w:p>
    <w:p>
      <w:r>
        <w:rPr>
          <w:b/>
        </w:rPr>
        <w:t xml:space="preserve">Quelle: </w:t>
      </w:r>
      <w:r>
        <w:t>https://mcp.opencaselaw.ch/entscheid/bger_6B_996_2013</w:t>
      </w:r>
    </w:p>
    <w:p>
      <w:r>
        <w:t>FR: TF 6B 996/2013 du 22 janvier 2014</w:t>
      </w:r>
    </w:p>
    <w:p>
      <w:r>
        <w:t>IT: TF 6B 996/2013 del 22 gennaio 2014</w:t>
      </w:r>
    </w:p>
    <w:p>
      <w:pPr>
        <w:pStyle w:val="Heading2"/>
      </w:pPr>
      <w:r>
        <w:t>Regeste</w:t>
      </w:r>
    </w:p>
    <w:p>
      <w:r>
        <w:t>Ordonnance de non-entrée en matière (violation de domicile; violation du domaine secret ou privé) | Procédure pénale</w:t>
      </w:r>
    </w:p>
    <w:p>
      <w:pPr>
        <w:pStyle w:val="Heading2"/>
      </w:pPr>
      <w:r>
        <w:t>Erwägungen</w:t>
      </w:r>
    </w:p>
    <w:p>
      <w:r>
        <w:rPr>
          <w:b/>
        </w:rPr>
        <w:t>E. 1.1</w:t>
      </w:r>
    </w:p>
    <w:p>
      <w:r>
        <w:t>Le Tribunal fédéral examine d'office et librement la recevabilité des recours qui lui sont soumis ( ATF 138 III 46 consid. 1 p. 46).</w:t>
      </w:r>
    </w:p>
    <w:p>
      <w:r>
        <w:rPr>
          <w:b/>
        </w:rPr>
        <w:t>E. 1.2</w:t>
      </w:r>
    </w:p>
    <w:p>
      <w:r>
        <w:t>Aux termes de l'art. 81 al. 1 let. b ch. 6 LTF, le plaignant n'a qualité pour recourir en matière pénale que pour autant que la contestation porte sur son droit de porter plainte. Dans ce cadre, seuls peuvent être soulevés des griefs relatifs à l'irrégularité de ce droit et de ses conditions (art. 30 à 33 CP). En cette qualité, le plaignant ne peut s'en prendre ni à la décision rendue sur le fond, ni à la décision de non-lieu ou de classement ( ATF 129 IV 206 consid. 1 p. 207). La recourante fonde sa qualité pour agir sur cette disposition en faisant valoir que l'arrêt querellé attente à son droit de plainte en retenant qu'elle n'est pas lésée par les infractions dénoncées. Ce faisant, sa contestation ne porte pas sur son droit de porter plainte tel qu'exposé, mais s'étend au fond de la décision, grief qu'elle n'est pas légitimée à soulever.</w:t>
      </w:r>
    </w:p>
    <w:p>
      <w:r>
        <w:rPr>
          <w:b/>
        </w:rPr>
        <w:t>E. 1.3</w:t>
      </w:r>
    </w:p>
    <w:p>
      <w:r>
        <w:t>L'hypothèse visée à l'art. 81 al. 1 let. b ch. 5 LTF n'entre pas non plus en considération. Selon cette disposition,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127 IV 185 consid. 1a p. 187). En l'espèce, la recourante ne s'exprime aucunement sur ce point, et la cause ne permet pas de comprendre sans ambiguïté quelles prétentions civiles pourraient être élevées. L'absence de toute explication, dans la configuration d'espèce, exclut également la qualité pour recourir de l'intéressée.</w:t>
      </w:r>
    </w:p>
    <w:p>
      <w:r>
        <w:rPr>
          <w:b/>
        </w:rPr>
        <w:t>E. 1.4</w:t>
      </w:r>
    </w:p>
    <w:p>
      <w:r>
        <w:t>Au demeurant, la recourante ne dénonce aucune violation de ses droits de partie à la procédure équivalant à un déni de justice formel, ce qui ne lui permettrait d'ailleurs pas de faire valoir par ce biais, même indirectement, des moyens qui ne peuvent être séparés du fond (cf. ATF 136 IV 29 consid. 1.9 et les références citées).</w:t>
      </w:r>
    </w:p>
    <w:p>
      <w:r>
        <w:rPr>
          <w:b/>
        </w:rPr>
        <w:t>E. 1.5</w:t>
      </w:r>
    </w:p>
    <w:p>
      <w:r>
        <w:t>Il s'ensuit que le recours doit être déclaré irrecevable, faute de qualité pour recourir. La recourante succombe. Elle supporte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