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993/2022 vom 18. März 2024</w:t>
      </w:r>
    </w:p>
    <w:p>
      <w:r>
        <w:t>Bundesgericht, 2024-03-18, FR</w:t>
      </w:r>
    </w:p>
    <w:p>
      <w:r>
        <w:rPr>
          <w:b/>
        </w:rPr>
        <w:t xml:space="preserve">Quelle: </w:t>
      </w:r>
      <w:r>
        <w:t>https://mcp.opencaselaw.ch/entscheid/bger_6B_993_2022</w:t>
      </w:r>
    </w:p>
    <w:p>
      <w:r>
        <w:t>FR: TF 6B 993/2022 du 18 mars 2024</w:t>
      </w:r>
    </w:p>
    <w:p>
      <w:r>
        <w:t>IT: TF 6B 993/2022 del 18 marzo 2024</w:t>
      </w:r>
    </w:p>
    <w:p>
      <w:pPr>
        <w:pStyle w:val="Heading2"/>
      </w:pPr>
      <w:r>
        <w:t>Regeste</w:t>
      </w:r>
    </w:p>
    <w:p>
      <w:r>
        <w:t>Droit à un procès équitable, etc.; capacité de postuler de l'avocat; empêchement d'accomplir un acte officiel ; arbitraire | Infractions</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 133 III 489 consid. 3.1 p. 489 s.; arrêt 6B_113/2021 du 8 juillet 2021 consid. 1). En l'occurrence, le recourant demande le constat de la violation de l' art. 6 CEDH . Selon l'intimé, une telle conclusion constatatoire serait irrecevable. Il est vrai que le recourant ne précise pas quelle modification de l'arrêt attaqué il entend solliciter sur ce point. Toutefois, dans la mesure où il ressort de ses écritures que le recourant conteste le refus de la cour cantonale d'interdire au conseil de l'intimé de postuler, que l'intéressé conclut également à l'annulation de l'arrêt entrepris dans son ensemble, y compris donc sur ce point, et que le Tribunal fédéral ne pourrait, en cas d'admission de ce grief, que renvoyer la cause à l'autorité précédente, la conclusion telle que formulée par le recourant satisfait tout juste aux exigences de forme déduites de l' art. 42 al. 1 et 2 LTF .</w:t>
      </w:r>
    </w:p>
    <w:p>
      <w:r>
        <w:rPr>
          <w:b/>
        </w:rPr>
        <w:t>E. 2</w:t>
      </w:r>
    </w:p>
    <w:p>
      <w:r>
        <w:t>Le recourant reproche à la cour cantonale d'avoir violé le droit à un procès équitable et le principe de l'égalité des armes, au motif qu'un conflit d'intérêts serait survenu du fait que le procureur ayant instruit la présente procédure pénale était devenu l'associé du mandataire de l'intimé pendant la procédure d'appel. Il invoque à ce titre une violation des art. 6 par. 1 CEDH ainsi que 3 et 4 CPP.</w:t>
      </w:r>
    </w:p>
    <w:p>
      <w:r>
        <w:rPr>
          <w:b/>
        </w:rPr>
        <w:t>E. 2.1</w:t>
      </w:r>
    </w:p>
    <w:p>
      <w:r>
        <w:t>Le droit à un procès équitable est garanti par les art. 3 al. 2 let . c CPP, 29 al. 1 Cst. et 6 par. 1 CEDH. Le principe d'égalité des armes, tel qu'il découle du droit à un procès équitable et qui en est l'un des éléments fondamentaux, exige un juste équilibre entre les parties: chacune doit se voir offrir une possibilité raisonnable de présenter sa cause dans des conditions qui ne la placent pas dans une situation de net désavantage par rapport à son ou ses adversaires (cf. arrêts de la CourEDH Ali Riza c. Suisse du 13 juillet 2021, par. 129; Rivera Vazquez et Calleja Delsordo c. Suisse du 22 janvier 2019, par. 43; Avotin s c. Lettonie du 23 mai 2016, par. 119; Yvon c. France du 24 avril 2003, par. 31). Au pénal, ce principe suppose un équilibre non seulement entre le prévenu et le ministère public soutenant l'accusation, mais également entre le prévenu et la partie civile. Cette égalité doit permettre d'assurer un débat contradictoire (arrêts 6B_314/2023 du 10 juillet 2023 consid. 2.6.2; 6B_974/2019 du 25 octobre 2019 consid. 1.1; 6B_416/2019 du 4 juillet 2019 consid. 2; 6B_259/2016 du 21 mars 2017 consid. 4.3.1). Dans ce contexte, la CourEDH a souligné l'importance à attribuer aux apparences ainsi qu'à la sensibilité accrue du public aux garanties d'une bonne justice (cf. arrêt de la CourEDH Borgers c. Belgique du 30 octobre 1991, par. 24).</w:t>
      </w:r>
    </w:p>
    <w:p>
      <w:r>
        <w:rPr>
          <w:b/>
        </w:rPr>
        <w:t>E. 2.2</w:t>
      </w:r>
    </w:p>
    <w:p>
      <w:r>
        <w:t>Le grief du recourant soulève la question de savoir si, à l'aune de ces principes, un procureur peut, après avoir quitté le ministère public, agir en qualité d'avocat d'une partie à la procédure pénale au cours de laquelle il avait préalablement exercé les fonctions d'accusateur public.</w:t>
      </w:r>
    </w:p>
    <w:p>
      <w:r>
        <w:rPr>
          <w:b/>
        </w:rPr>
        <w:t>E. 2.2.1</w:t>
      </w:r>
    </w:p>
    <w:p>
      <w:r>
        <w:t>Dans les règles relatives aux conseils juridiques, l' art. 127 al. 4 CPP réserve la législation sur les avocats. Énonçant les règles professionnelles que doit respecter l'avocat, l' art. 12 let . c LLCA prévoit que celui-ci doit éviter tout conflit entre les intérêts de son client et ceux des personnes avec lesquelles il est en relation sur le plan professionnel ou privé. L'interdiction de plaider en cas de conflit d'intérêts est une règle cardinale de la profession d'avocat ( ATF 145 IV 218 consid. 2.1 p. 221 s.; arrêts 2C_865/2022 du 12 décembre 2023 consid. 3.1; 2C_867/2021 du 2 novembre 2022 consid. 4.1; 2C_898/2018 du 30 janvier 2019 consid. 5.2). Elle est en lien avec la clause générale de l' art. 12 let. a LLCA - selon laquelle l'avocat exerce sa profession avec soin et diligence -, avec l'obligation d'indépendance figurant à l' art. 12 let. b LLCA , ainsi qu'avec l' art. 13 LLCA relatif au secret professionnel ( ATF 145 IV 218 consid. 2.1 p. 221 s.; 141 IV 257 consid. 2.1 p. 260; 134 II 108 consid. 3 p. 110).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ATF 145 IV 218 consid. 2.1 p. 222; 141 IV 257 consid. 2.1 p. 260; arrêt 1B_476/2022 du 6 décembre 2022 consid. 2.2.1; voir aussi, en procédure civile, ATF 147 III 351 consid. 6.3 p. 356).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 ATF 145 IV 218 consid. 2.1 p. 223; arrêt 1B_476/2022 du 6 décembre 2022 consid. 2.2.1 et les références citées). Dès que le conflit d'intérêts survient, l'avocat doit mettre fin à la représentation ( ATF 145 IV 218 consid. 2.1 p. 223). Celui qui, en violation des obligations énoncées à l' art. 12 LLCA , accepte ou poursuit la défense alors qu'il existe un tel risque de conflit doit se voir dénier par l'autorité la capacité de postuler. L'interdiction de plaider est, en effet, la conséquence logique du constat de l'existence d'un tel conflit ( ATF 147 III 351 consid. 6.1.3 p. 353 s.; 138 II 162 consid. 2.5.1 p. 166 s.). L'incapacité de représentation affectant un avocat rejaillit sur ses associés ( ATF 145 IV 218 consid. 2.2 p. 223; 135 II 145 consid. 9.1 p. 154). L'interdiction des conflits d'intérêts ne se limite ainsi pas à la personne même de l'avocat, mais s'étend à l'ensemble de l'étude ou du groupement auquel il appartient ( ATF 145 IV 218 consid. 2.2 p. 223). Sous cet angle, sont donc en principe concernés tous les avocats exerçant dans une même étude au moment de la constitution du mandat, peu importe leur statut (associés ou collaborateurs) et les difficultés que le respect de cette exigence découlant des règles professionnelles peut engendrer pour une étude d'une certaine taille ( ATF 145 IV 218 consid. 2.2 p. 224). L'autorité en charge de la procédure statue d'office et en tout temps sur la capacité de postuler d'un mandataire professionnel ( ATF 141 IV 257 consid. 2.2 p. 261). En effet, l'interdiction de postuler dans un cas concret - à distinguer d'une suspension provisoire ou définitive - ne relève en principe pas du droit disciplinaire, mais du contrôle du pouvoir de postuler ( ATF 147 III 351 consid. 6.2.2 p. 354 s.; 138 II 162 consid. 2.5.1 p. 168; arrêt 1B_476/2022 du 6 décembre 2022 consid. 2.2.1).</w:t>
      </w:r>
    </w:p>
    <w:p>
      <w:r>
        <w:rPr>
          <w:b/>
        </w:rPr>
        <w:t>E. 2.2.2</w:t>
      </w:r>
    </w:p>
    <w:p>
      <w:r>
        <w:t>Il y a notamment conflit d'intérêts au sens de l' art. 12 let . c LLCA dès que survient la possibilité d'utiliser, consciemment ou non, dans un nouveau mandat, les connaissances acquises antérieurement, sous couvert du secret professionnel, dans l'exercice d'un mandat antérieur ( ATF 145 IV 218 consid. 2.1 p. 223; arrêt 2C_867/2021 du 2 novembre 2022 consid. 4.4). En application de ce principe, le Tribunal fédéral a considéré, à plusieurs reprises, qu'un notaire, qui pratique également en tant qu'avocat, ne peut représenter aucune des parties dans une affaire litigieuse lorsqu'il a préalablement officié en tant que représentant de la puissance publique dans cette affaire (cf. arrêts 2C_87/2021 du 29 avril 2021 consid. 3.4; 2C_814/2014 du 22 janvier 2015 consid. 4.1.4; 2C_26/2009 du 18 juin 2009 consid. 3.1; 2C_407/2008 du 23 octobre 2008 consid. 3.3). Cette situation est comparable à celle de l'avocat qui exerce également la fonction de juge: il est amené à apprendre des faits essentiels qui concernent les parties dans une certaine cause en tant que juge, ce qui peut s'opposer à l'acceptation ultérieure d'un mandat les concernant (arrêt 2C_26/2009 du 18 juin 2009 consid. 3.1; pour le cas d'un avocat qui, dans une procédure d'entraide internationale en matière pénale, s'est vu dénier la capacité de postuler, au motif qu'il représentait les intérêts de l'État requérant, alors qu'il avait auparavant officié dans cette même procédure en tant que procureur fédéral, cf. arrêt du Tribunal pénal fédéral RR.2017.326 du 28 mars 2018 consid. 4.1 s.).</w:t>
      </w:r>
    </w:p>
    <w:p>
      <w:r>
        <w:rPr>
          <w:b/>
        </w:rPr>
        <w:t>E. 2.3</w:t>
      </w:r>
    </w:p>
    <w:p>
      <w:r>
        <w:t>Il n'existe pas de motifs particuliers qui justifieraient de se distancer de cette jurisprudence dans le cas où un procureur quitte ses fonctions au sein du ministère public et représente ensuite, en tant qu'avocat, une partie à la procédure pénale qu'il a lui-même diligentée dans le cadre de ses anciennes fonctions. Une telle situation s'apparente en effet à la situation précitée de l'avocat-notaire ou à celle du juge qui exerce également en tant qu'avocat. Peu importe à cet égard le stade de la procédure pénale auquel se concrétise le risque de conflit d'intérêts, puisque l'élément déterminant dégagé par la jurisprudence réside dans la possibilité d'utiliser, consciemment ou non, dans un nouveau mandat, les connaissances acquises dans un mandat antérieur. En outre, si un risque de conflit d'intérêts peut se concevoir plus aisément lorsque le procureur devient, au cours d'une même procédure dans laquelle celui-ci a officié, le défenseur du prévenu, l'on ne saurait exclure a priori tout conflit d'intérêts au seul motif que l'ancien magistrat interviendrait en faveur de la partie plaignante, puisque le ministère public représente des intérêts distincts de ceux de cette dernière, qu'il n'a pas vocation à défendre ( ATF 138 IV 142 consid. 2.2.2 p. 146). Les principes précités visent ainsi à éviter un cumul de fonctions distinctes dans le cadre d'une même procédure, faisant en cela écho, notamment, à l' art. 56 let. b CPP qui oblige toute personne exerçant une fonction au sein d'une autorité pénale de se récuser lorsqu'elle a agi à un autre titre dans la même cause, en particulier comme membre d'une autorité, conseil juridique d'une partie, expert ou témoin. D'un point de vue plus général, les règles susmentionnées tendent à garantir le principe d'indépendance, ainsi qu'une bonne administration de la justice, comme composantes du principe de l'égalité des armes et du droit à un procès équitable garanti par les art. 3 al. 2 let . c CPP, 29 al. 1 Cst. et 6 par. 1 CEDH. Or, permettre au procureur qui a officié dans une procédure pénale en cette qualité, d'intervenir, par la suite, comme conseil d'une partie à cette même procédure, n'apparaît pas compatible avec de telles exigences, puisqu'une telle situation crée, à tout le moins sous l'angle des apparences, un déséquilibre entre les parties induit par le risque de conflit d'intérêts précédemment identifié.</w:t>
      </w:r>
    </w:p>
    <w:p>
      <w:r>
        <w:rPr>
          <w:b/>
        </w:rPr>
        <w:t>E. 2.4</w:t>
      </w:r>
    </w:p>
    <w:p>
      <w:r>
        <w:t>Vu ce qui précède, c'est à tort que la cour cantonale a rejeté la demande du recourant tendant à interdire au conseil de l'intimé de postuler, aux motifs qu'après le renvoi en jugement, le ministère public était devenu une partie à la procédure, qu'il requérait, sans réserve, la condamnation du recourant, à l'instar de la partie plaignante, qu'en appel, tant celle-ci que le procureur demandaient la confirmation du verdict de culpabilité, de sorte que les intérêts défendus par ces parties étaient manifestement convergents, et que le dossier était contradictoire, présumé complet et exhaustif, les parties ayant dès lors accès à toutes les informations. En effet, Me F.________ a été le procureur en charge de la procédure pénale dirigée contre le recourant jusqu'au 31 décembre 2021, soit postérieurement à l'ouverture de la procédure d'appel au cours de laquelle le prénommé s'est notamment déterminé. À partir du 1 er janvier 2022, il s'est associé à Me G.________, qui s'est constitué conseil de l'intimé au stade de la procédure d'appel. Dès cette date, un risque concret de conflit d'intérêts est survenu, en raison de la possibilité d'utiliser, consciemment ou non, dans le cadre de ce mandat, les connaissances acquises par l'ancien procureur, ce qui constitue l'élément déterminant pour admettre l'existence d'un tel risque. Bien que Me F.________ ne soit pas lui-même intervenu dans la défense de l'intimé, ce risque de conflit d'intérêts a rejailli sur son associé. Au surplus, l'on peut relever que, contrairement à ce qu'a retenu la cour cantonale, les intérêts entre le ministère public et la partie plaignante n'étaient pas manifestement convergents, dans la mesure où l'accusateur public a, en appel, appuyé la demande du recourant tendant à interdire au conseil de l'intimé de postuler. Le recourant, prévenu et voyant son accusateur public s'associer au conseil de l'intimé au cours de la procédure pénale dirigée contre lui, était fondé, sous l'angle des apparences, à nourrir des doutes objectivement légitimes sur l'équité du procès et sur le respect du principe de l'égalité des armes entre lui et la partie plaignante, en raison du risque concret de conflit d'intérêts ainsi créé. La cour cantonale a dès lors violé le droit du recourant à un procès équitable en refusant d'interdire au conseil de l'intimé de postuler.</w:t>
      </w:r>
    </w:p>
    <w:p>
      <w:r>
        <w:rPr>
          <w:b/>
        </w:rPr>
        <w:t>E. 3</w:t>
      </w:r>
    </w:p>
    <w:p>
      <w:r>
        <w:t>Vu le sort du recours, les autres griefs du recourant deviennent sans objet.</w:t>
      </w:r>
    </w:p>
    <w:p>
      <w:r>
        <w:rPr>
          <w:b/>
        </w:rPr>
        <w:t>E. 4</w:t>
      </w:r>
    </w:p>
    <w:p>
      <w:r>
        <w:t>Le recours doit être admis, l'arrêt querellé annulé et la cause renvoyée à la cour cantonale pour nouvelle décision. Il est précisé que seuls les actes effectués à partir de l'association effective entre Me G.________ et Me F.________, soit à partir du 1 er janvier 2022, doivent être annulés. Il incombera à la cour cantonale d'accorder un délai à la partie plaignante afin de choisir un nouveau conseil juridique. Le recourant, qui obtient gain de cause, ne supporte pas de frais judiciaires ( art. 66 al. 1 LTF ) et peut prétendre à une indemnité de dépens à la charge de la République et canton de Genève et de l'intimé, pour moitié chacun ( art. 68 al. 1 LTF ), ce qui rend sans objet sa demande d'assistance judiciaire. L'intimé, qui succombe, supportera une partie des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