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6B_990/2015 vom 29. Oktober 2015</w:t>
      </w:r>
    </w:p>
    <w:p>
      <w:r>
        <w:t>Bundesgericht, 2015-10-29, DE</w:t>
      </w:r>
    </w:p>
    <w:p>
      <w:r>
        <w:rPr>
          <w:b/>
        </w:rPr>
        <w:t xml:space="preserve">Quelle: </w:t>
      </w:r>
      <w:r>
        <w:t>https://mcp.opencaselaw.ch/entscheid/bger_6B_990_2015</w:t>
      </w:r>
    </w:p>
    <w:p>
      <w:r>
        <w:t>FR: TF 6B_990/2015 du 29 octobre 2015</w:t>
      </w:r>
    </w:p>
    <w:p>
      <w:r>
        <w:t>IT: TF 6B_990/2015 del 29 ottobre 2015</w:t>
      </w:r>
    </w:p>
    <w:p>
      <w:pPr>
        <w:pStyle w:val="Heading2"/>
      </w:pPr>
      <w:r>
        <w:t>Erwägungen</w:t>
      </w:r>
    </w:p>
    <w:p>
      <w:r>
        <w:rPr>
          <w:b/>
        </w:rPr>
        <w:t>E. 1</w:t>
      </w:r>
    </w:p>
    <w:p>
      <w:r>
        <w:t>Der Beschwerdeführer erstattete am 31. Juli 2014 bei der Staatsanwaltschaft Bischofszell Anzeige gegen eine Schulgemeinde wegen widerrechtlicher Enteignung. Die Gemeinde habe am 8. Juli 1991 auf Enteignung geklagt, und das Verwaltungsgericht habe das Urteil der Enteignungskommission vom 1. Juni 1992 am 28. Mai 1993 bestätigt. Der grundbuchamtliche Eintrag der Enteignung basiere auf einer fehlerhaften Entscheidung, und das in Frage stehende Grundstück stehe immer noch in seinem Eigentum.</w:t>
      </w:r>
    </w:p>
    <w:p>
      <w:r>
        <w:t>Am 15. August 2014 erstattete der Beschwerdeführer bei der Staatsanwaltschaft Bischofszell Anzeige gegen die Kantonalbank Thurgau wegen Nötigung und Unterschlagung. Der zuständige Mitarbeiter habe am 1. Oktober 1993 die Entschädigungszahlungen der Schulgemeinde für das enteignete Grundstück entgegengenommen und unterschlagen. Zudem habe die Bank ihn genötigt, auf eine Beschwerde gegen das Urteil des Verwaltungsgerichts zu verzichten, indem sie ihm gedroht habe, die laufenden Konkursandrohungen für aufgelaufene Zinsen durchzusetzen.</w:t>
      </w:r>
    </w:p>
    <w:p>
      <w:r>
        <w:t>Am 16. bzw. 17. Juli 2015 nahm die Staatsanwaltschaft Frauenfeld, welcher die Verfahren überwiesen worden waren, diese infolge Verjährung nicht an die Hand. Dagegen gerichtete Beschwerden wies das Obergericht des Kantons Thurgau am 26. August 2015 ab, soweit es darauf eintrat.</w:t>
      </w:r>
    </w:p>
    <w:p>
      <w:r>
        <w:t>Der Beschwerdeführer wendet sich ans Bundesgericht und beantragt unter anderem, der angefochtene Entscheid sei inhaltlich sowie wegen Befangenheit aufzuheben (Beschwerde S. 4).</w:t>
      </w:r>
    </w:p>
    <w:p>
      <w:r>
        <w:rPr>
          <w:b/>
        </w:rPr>
        <w:t>E. 2</w:t>
      </w:r>
    </w:p>
    <w:p>
      <w:r>
        <w:t>Der Beschwerdeführer macht geltend, die Vizepräsidentin der Vorinstanz sei befangen, da sie die rechtswidrigen Forderungen der Kantonalbank durch ihre Entscheidungen tatkräftig unterstützt habe (Beschwerde S. 4). Indessen stellt der Umstand, dass eine Gerichtsperson an früheren Urteilen mitwirkte, mit denen der Betroffene nicht einverstanden ist, für sich allein keinen Befangenheitsgrund dar.</w:t>
      </w:r>
    </w:p>
    <w:p>
      <w:r>
        <w:rPr>
          <w:b/>
        </w:rPr>
        <w:t>E. 3</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6B_669/2015 vom 30. Juni 2015 mit Hinweis).</w:t>
      </w:r>
    </w:p>
    <w:p>
      <w:r>
        <w:t>Der Beschwerdeführer erhebt strafrechtliche Vorwürfe gegen Mitarbeiter einer Schulgemeinde und der Kantonalbank Thurgau. Folglich dürfte es nicht um Zivilansprüche im Sinne von Art. 81 Abs. 1 lit. b Ziff. 5 BGG gehen, sondern um Ansprüche, die sich aus öffentlichem Recht ergeben und die nicht adhäsionsweise im Strafprozess geltend gemacht werden können. Der Beschwerdeführer verweist denn auch selber ausdrücklich auf seinen "Anspruch auf Staatshaftung" (Beschwerde S. 4). Da es ihm um die Staatshaftung geht, ist mangels Legitimation auf die Beschwerde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