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6B_989/2022 vom 14. September 2022</w:t>
      </w:r>
    </w:p>
    <w:p>
      <w:r>
        <w:t>Bundesgericht, 2022-09-14, DE</w:t>
      </w:r>
    </w:p>
    <w:p>
      <w:r>
        <w:rPr>
          <w:b/>
        </w:rPr>
        <w:t xml:space="preserve">Quelle: </w:t>
      </w:r>
      <w:r>
        <w:t>https://mcp.opencaselaw.ch/entscheid/bger_6B_989_2022</w:t>
      </w:r>
    </w:p>
    <w:p>
      <w:r>
        <w:t>FR: TF 6B_989/2022 du 14 septembre 2022</w:t>
      </w:r>
    </w:p>
    <w:p>
      <w:r>
        <w:t>IT: TF 6B_989/2022 del 14 settembre 2022</w:t>
      </w:r>
    </w:p>
    <w:p>
      <w:pPr>
        <w:pStyle w:val="Heading2"/>
      </w:pPr>
      <w:r>
        <w:t>Erwägungen</w:t>
      </w:r>
    </w:p>
    <w:p>
      <w:r>
        <w:rPr>
          <w:b/>
        </w:rPr>
        <w:t>E. 1</w:t>
      </w:r>
    </w:p>
    <w:p>
      <w:r>
        <w:t>Generalstaatsanwaltschaft des Kantons Thurgau, Maurerstrasse 2, 8510 Frauenfeld,</w:t>
      </w:r>
    </w:p>
    <w:p>
      <w:r>
        <w:rPr>
          <w:b/>
        </w:rPr>
        <w:t>E. 2</w:t>
      </w:r>
    </w:p>
    <w:p>
      <w:r>
        <w:t>Der angefochtene Entscheid schliesst das Strafverfahren gegen den Beschwerdeführer nicht ab, sondern ermöglicht vielmehr dessen Weiterführung.</w:t>
      </w:r>
    </w:p>
    <w:p>
      <w:r>
        <w:t>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t>In der Beschwerde muss - sofern das nicht offensichtlich ist - im Einzelnen dargelegt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rPr>
          <w:b/>
        </w:rPr>
        <w:t>E. 3</w:t>
      </w:r>
    </w:p>
    <w:p>
      <w:r>
        <w:t>Der Beschwerdeführer äussert sich nicht im Ansatz zu den Eintretensvoraussetzungen von Art. 93 Abs. 1 BGG . Weder macht er geltend, der angefochtene Entscheid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