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6B_987/2016 vom 28. Oktober 2016</w:t>
      </w:r>
    </w:p>
    <w:p>
      <w:r>
        <w:t>Bundesgericht, 2016-10-28, DE</w:t>
      </w:r>
    </w:p>
    <w:p>
      <w:r>
        <w:rPr>
          <w:b/>
        </w:rPr>
        <w:t xml:space="preserve">Quelle: </w:t>
      </w:r>
      <w:r>
        <w:t>https://mcp.opencaselaw.ch/entscheid/bger_6B_987_2016</w:t>
      </w:r>
    </w:p>
    <w:p>
      <w:r>
        <w:t>FR: TF 6B_987/2016 du 28 octobre 2016</w:t>
      </w:r>
    </w:p>
    <w:p>
      <w:r>
        <w:t>IT: TF 6B_987/2016 del 28 ottobre 2016</w:t>
      </w:r>
    </w:p>
    <w:p>
      <w:pPr>
        <w:pStyle w:val="Heading2"/>
      </w:pPr>
      <w:r>
        <w:t>Erwägungen</w:t>
      </w:r>
    </w:p>
    <w:p>
      <w:r>
        <w:rPr>
          <w:b/>
        </w:rPr>
        <w:t>E. 1.1</w:t>
      </w:r>
    </w:p>
    <w:p>
      <w:r>
        <w:t>Der Beschwerdeführer rügt eine Verletzung von Art. 6 Ziff. 1 EMRK . Er macht geltend, die von der Vorinstanz vorgenommene Strafreduktion infolge Verletzung des Beschleunigungsverbots von lediglich 9 Monaten sei zu gering. Die Vorinstanz begründe dies auch nicht. Es sei unverständlich, warum die Staatsanwaltschaft in einem keineswegs komplexen Verfahren zwei Jahre bis zur Anklageerhebung benötigt habe. Dass der Fall anschliessend während mehr als zwei Jahren beim Bezirksgericht liegen geblieben sei, sei unannehmbar. Obwohl die Vorinstanz das Berufungsverfahren speditiv durchgeführt habe, sei die Gesamtverfahrensdauer von nunmehr 6 ½ Jahren angemessen zu berücksichtigen, zumal der Beschwerdeführer im Tatzeitpunkt erst 20 ½ Jahre alt und die Belastung enorm gewesen sei. Eine Reduktion von zwei Jahren, entsprechend der Hälfte der Verfahrensdauer zwischen den Delikten im Sommer 2010 und der erstinstanzlichen Hauptverhandlung im Jahre 2014 sei gerechtfertigt.</w:t>
      </w:r>
    </w:p>
    <w:p>
      <w:r>
        <w:rPr>
          <w:b/>
        </w:rPr>
        <w:t>E. 1.2.1</w:t>
      </w:r>
    </w:p>
    <w:p>
      <w:r>
        <w:t>Das Beschleunigungsgebot ( Art. 5 StPO , Art. 29 Abs. 1 BV und Art. 6 Ziff. 1 EMRK )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hierfür sind etwa die Schwere des Tatvorwurfs, die Komplexität des Sachverhalts, die dadurch gebotenen Untersuchungshandlungen, die Schwierigkeit und Dringlichkeit der Sache, das Verhalten der beschuldigten Person und dasjenige der Behörden (z.B. unnötige Massnahmen oder Liegenlassen des Falles) sowie die Zumutbarkeit für die beschuldigte Person. Die Beurteilung der Verfahrensdauer entzieht sich starren Regeln. Von den Behörden und Gerichten kann nicht verlangt werden, dass sie sich ständig einem einzigen Fall widmen. Aus diesem Grund sowie wegen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eine von der Strafbehörde zu verantwortende krasse Zeitlücke zu Tage tritt. Dazu genügt es nicht, dass diese oder jene Handlung etwas rascher hätte vorgenommen werden können.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(vgl. BGE 133 IV 158 E. 8 S. 170; 130 IV 54 E. 3.3.1 S. 54 f.; Urteile 6B_462/2014 vom 27. August 2015 E. 1.3, nicht publ. in: BGE 141 IV 369 ; 6B_605/2014 vom 22. Dezember 2014 E. 2.2; 6B_390/2012 vom 18. Februar 2013 E. 4.4; je mit Hinweisen).</w:t>
      </w:r>
    </w:p>
    <w:p>
      <w:r>
        <w:t>Wird eine Verletzung des Beschleunigungsgebotes festgestellt, ist diesem Umstand angemessen Rechnung zu tragen. Als Sanktionen fallen in Betracht die Berücksichtigung der Verfahrensverzögerung bei der Strafzumessung, die Schuldigsprechung unter gleichzeitigem Strafverzicht oder in extremen Fällen - als ultima ratio - die Einstellung des Verfahrens. Nach ständiger Rechtsprechung ist das Gericht verpflichtet, die Verletzung des Beschleunigungsgebotes im Dispositiv seines Urteils ausdrücklich festzuhalten und gegebenenfalls darzulegen, in welchem Ausmass es diesen Umstand berücksichtigt hat ( BGE 137 IV 118 E. 2.2 S. 121 f. ; 136 I 274 E. 2.3 S. 278 ; 130 I 312 E. 5.3 S. 333; 130 IV 54 E. 3.3 S. 54 ff.; 117 IV 124 E. 4d S. 129; Urteil 6B_462/2014 vom 27. August 2015 E. 1.3, nicht publ. in: BGE 141 IV 369 ).</w:t>
      </w:r>
    </w:p>
    <w:p>
      <w:r>
        <w:rPr>
          <w:b/>
        </w:rPr>
        <w:t>E. 1.2.2</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 Urteil 6B_480/2016 vom 5. August 2016 E. 5.3).</w:t>
      </w:r>
    </w:p>
    <w:p>
      <w:r>
        <w:rPr>
          <w:b/>
        </w:rPr>
        <w:t>E. 1.2.3</w:t>
      </w:r>
    </w:p>
    <w:p>
      <w:r>
        <w:t>Das Bundesgericht wendet das Recht von Amtes wegen an ( Art. 106 Abs. 1 BGG ). Es prüft,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138 IV 47 E. 2.8.1 S. 54; je mit Hinweisen).</w:t>
      </w:r>
    </w:p>
    <w:p>
      <w:r>
        <w:rPr>
          <w:b/>
        </w:rPr>
        <w:t>E. 1.3.1</w:t>
      </w:r>
    </w:p>
    <w:p>
      <w:r>
        <w:t>Die Vorinstanz bejaht eine Verletzung des Beschleunigungsgebots und führt zur Begründung Folgendes aus : "Die zu beurteilenden Delikte ereigneten sich teilweise bereits im Juni und Juli 2010 und damit vor gut sechs Jahren. Die Staatsanwaltschaft erhob nach gut zwei Jahren Untersuchung am 16. Juli 2012 Anklage. Die erstinstanzliche Hauptverhandlung fand erst knapp 26 Monate, also über zwei Jahre danach, am 12. September 2014, statt. Am 12. September 2014 wurde der Beschuldigte verhaftet und ist seither inhaftiert. Die zu beurteilenden Sachverhalte sind weder ausserordentlich komplex noch von besonderer Schwierigkeit. Vor diesem Hintergrund ist eine Berücksichtigung der Verfahrensdauer zugunsten des Beschuldigten bzw. eine Strafminderung von 9 Monaten angezeigt. Die Gesamtstrafe bemisst sich somit auf 6 Jahre Freiheitsstrafe."</w:t>
      </w:r>
    </w:p>
    <w:p>
      <w:r>
        <w:rPr>
          <w:b/>
        </w:rPr>
        <w:t>E. 1.3.2</w:t>
      </w:r>
    </w:p>
    <w:p>
      <w:r>
        <w:t>Aus den vorstehenden Ausführungen erhellt, dass die Vorinstanz eine Verfahrensdauer von sechs Jahren angesichts der als nicht besonders komplex beurteilten Sachverhalte für zu lang erachtet. Dies ist nachvollziehbar. Der Beschwerdeführer beschränkt sich im Wesentlichen darauf, die Feststellungen der Vorinstanz zu wiederholen, namentlich, wenn er vorbringt, es sei nicht nachvollziehbar, warum die Staatsanwaltschaft für ein wenig komplexes Verfahren zwei Jahre benötigt und es hiernach bis zur erstinstanzlichen Hauptverhandlung weitere zwei Jahre gedauert habe. Diese Umstände hat die Vorinstanz bei ihrer Beurteilung offensichtlich berücksichtigt. Gleiches gilt für das ihr zweifellos bekannte, recht junge Alter des Beschwerdeführers zur Tatzeit. Er legt nicht dar, inwiefern die Vorinstanz das ihr bei der Strafzumessung zustehende weite Ermessen überschreitet, wenn sie gestützt auf ihre Feststellungen eine Strafminderung infolge Verletzung des Beschleunigungsgebots um neun Monate vornimmt. So rügt der Beschwerdeführer die vorinstanzliche Verfahrensdauer explizit nicht. Er attestiert der Vorinstanz vielmehr, das Verfahren zügig behandelt zu haben. Eine neuerliche, unstatthafte Verfahrensverzögerung, die eine weitergehende Strafminderung aufdrängen würde, ergibt sich daraus nicht. Es besteht daher für das Bundesgericht kein Anlass, in das Ermessen der Vorinstanz einzugreifen.</w:t>
      </w:r>
    </w:p>
    <w:p>
      <w:r>
        <w:rPr>
          <w:b/>
        </w:rPr>
        <w:t>E. 2</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