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986/2019 vom 17. September 2019</w:t>
      </w:r>
    </w:p>
    <w:p>
      <w:r>
        <w:t>Bundesgericht, 2019-09-17, FR</w:t>
      </w:r>
    </w:p>
    <w:p>
      <w:r>
        <w:rPr>
          <w:b/>
        </w:rPr>
        <w:t xml:space="preserve">Quelle: </w:t>
      </w:r>
      <w:r>
        <w:t>https://mcp.opencaselaw.ch/entscheid/bger_6B_986_2019</w:t>
      </w:r>
    </w:p>
    <w:p>
      <w:r>
        <w:t>FR: TF 6B 986/2019 du 17 septembre 2019</w:t>
      </w:r>
    </w:p>
    <w:p>
      <w:r>
        <w:t>IT: TF 6B 986/2019 del 17 settembre 2019</w:t>
      </w:r>
    </w:p>
    <w:p>
      <w:pPr>
        <w:pStyle w:val="Heading2"/>
      </w:pPr>
      <w:r>
        <w:t>Regeste</w:t>
      </w:r>
    </w:p>
    <w:p>
      <w:r>
        <w:t>Irrecevabilité formelle du recours en matière pénale | Infractions</w:t>
      </w:r>
    </w:p>
    <w:p>
      <w:pPr>
        <w:pStyle w:val="Heading2"/>
      </w:pPr>
      <w:r>
        <w:t>Erwägungen</w:t>
      </w:r>
    </w:p>
    <w:p>
      <w:r>
        <w:rPr>
          <w:b/>
        </w:rPr>
        <w:t>E. 1</w:t>
      </w:r>
    </w:p>
    <w:p>
      <w:r>
        <w:t>Par jugement rendu par défaut le 5 octobre 2018, le Tribunal de police de l'arrondissement de La Côte a condamné X.________, pour violation simple des règles de la circulation routière, à une amende de 400 fr., convertible en quatre jours de peine privative de liberté de substitution, ainsi qu'au paiement des frais de procédure. Par jugement du 5 juillet 2019, la Cour d'appel pénale du Tribunal cantonal du canton de Vaud a rejeté l'appel formé par le prénommé contre ce jugement et a confirmé celui-ci. X.________ forme un recours en matière pénale au Tribunal fédéral contre le jugement du 5 juillet 2019, en concluant, avec suite de frais, à sa réforme en ce sens qu'une amende plus clémente lui est infligée, voire qu'aucune amende ne lui est infligée. Il demande aussi que des "discussions et procédures" soient engagées pour que la Suisse "réforme d'urgence" son droit pénal afin de le mettre en conformité avec la Constitution fédérale et le droit international.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ne développe aucune argumentation topique, propre à démontrer que la cour cantonale aurait pu violer le droit. Il se borne à critiquer le montant de l'amende qui lui a été infligée ainsi que la mise à sa charge des frais de procédure, sans préciser en quoi la décision attaquée emporterait une violation du droit fédéral, constitutionnel ou international. Le recourant n'expose pas, pour le reste, en quoi le droit pénal suisse serait contraire aux garanties constitutionnelles ou à celles découlant du "droit international".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