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6B_985/2024 vom 29. April 2025</w:t>
      </w:r>
    </w:p>
    <w:p>
      <w:r>
        <w:t>Bundesgericht, 2025-04-29, FR</w:t>
      </w:r>
    </w:p>
    <w:p>
      <w:r>
        <w:rPr>
          <w:b/>
        </w:rPr>
        <w:t xml:space="preserve">Quelle: </w:t>
      </w:r>
      <w:r>
        <w:t>https://mcp.opencaselaw.ch/entscheid/bger_6B_985_2024</w:t>
      </w:r>
    </w:p>
    <w:p>
      <w:r>
        <w:t>FR: TF 6B_985/2024 du 29 avril 2025</w:t>
      </w:r>
    </w:p>
    <w:p>
      <w:r>
        <w:t>IT: TF 6B_985/2024 del 29 aprile 2025</w:t>
      </w:r>
    </w:p>
    <w:p>
      <w:pPr>
        <w:pStyle w:val="Heading2"/>
      </w:pPr>
      <w:r>
        <w:t>Erwägungen</w:t>
      </w:r>
    </w:p>
    <w:p>
      <w:r>
        <w:rPr>
          <w:b/>
        </w:rPr>
        <w:t>E. 1</w:t>
      </w:r>
    </w:p>
    <w:p>
      <w:r>
        <w:t>Le recourant invoque une violation de la présomption d'innocence et une appréciation arbitraire des preuves ( art. 10 CPP , art. 32 al. 1 Cst. , art. 14 par. 2 Pacte ONU II et art. 6 par. 2 CEDH ). Il soutient que la cour cantonale s'est exclusivement fondée sur des éléments indirects, notamment l'analyse téléphonique rétroactive du téléphone de son comparse, ainsi que sur des présomptions insuffisamment étayées pour lui imputer l'intégralité des cambriolages.</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w:t>
      </w:r>
    </w:p>
    <w:p>
      <w:r>
        <w:rPr>
          <w:b/>
        </w:rPr>
        <w:t>E. 1.2</w:t>
      </w:r>
    </w:p>
    <w:p>
      <w:r>
        <w:t>À teneur de l'arrêt entrepris, le recourant n'a pas remis en cause sa condamnation pour vol en bande et par métier, dommages à la propriété et violation de domicile. Son appel, qui a été rejeté, était en effet limité à la partie du jugement concernant la fixation de la peine et les mesures ordonnées (cf. art. 399 al. 3 et 4 let. b et c CPP). Partant, la cour cantonale n'était, en particulier, pas saisie de la question relative à la culpabilité du recourant en lien avec les infractions des art. 139 ch. 3 al. 2, 144 al. 1 et 186 CP. Le jugement de première instance est entré en force de chose jugée sur cet aspect et il ne saurait être question d'y revenir par le biais d'un recours en matière pénale au Tribunal fédéral. Partant, le grief soulevé par le recourant à l'encontre de sa condamnation des chefs d'infraction de vol en bande et par métier, de dommages à la propriété et de violation de domicile, est irrecevable.</w:t>
      </w:r>
    </w:p>
    <w:p>
      <w:r>
        <w:rPr>
          <w:b/>
        </w:rPr>
        <w:t>E. 2</w:t>
      </w:r>
    </w:p>
    <w:p>
      <w:r>
        <w:t>Invoquant une violation de son droit de ne pas s'auto-incriminer ( art. 113 al. 1 CPP , art. 14 par. 3 let . g Pacte ONU II et art. 6 par. 1 CEDH ), le recourant considère que la cour cantonale ne pouvait pas retenir un manque de collaboration à sa charge.</w:t>
      </w:r>
    </w:p>
    <w:p>
      <w:r>
        <w:t>Selon la jurisprudence, l'exercice, par le prévenu, de son droit au silence ne saurait justifier une aggravation de la sanction, à moins que l'on puisse déduire une absence de remords et de prise de conscience de sa faute. En toute hypothèse, le recours au droit au silence n'est pas un facteur de réduction de la peine (cf. ATF 129 IV 6 consid. 6.1; voir également arrêts 6B_675/2019 du 17 juillet 2019 consid. 4.1; 6B_1299/2016 du 27 septembre 2017 consid. 2.3.4; 6B_740/2016 du 2 juin 2017 consid. 1).</w:t>
      </w:r>
    </w:p>
    <w:p>
      <w:r>
        <w:t>En l'espèce, l'autorité précédente a expliqué que la collaboration du recourant en cours de procédure avait été mauvaise puisqu'il n'avait eu de cesse de nier les évidences avant de passer à des aveux minimalistes. Il n'avait en outre pas pris conscience de la gravité de ses actes et avait, encore aux débats, centré principalement son discours sur ses problèmes de santé, ajoutant qu'il avait toutefois exprimé quelques regrets en fin d'interrogatoire (cf. arrêt attaqué, p. 11). Elle n'a ainsi pas violé le droit fédéral en aggravant la peine pour ce motif. Le grief est infondé.</w:t>
      </w:r>
    </w:p>
    <w:p>
      <w:r>
        <w:t>S'agissant de la différence de traitement au niveau de la peine entre lui et son coprévenu, le recourant ne démontre pas en quoi les circonstances concrètes de son cas, y compris les circonstances personnelles, seraient similaires à celles de son comparse, si bien que les comparaisons invoquées sont sans pertinence. Son grief est donc infondé.</w:t>
      </w:r>
    </w:p>
    <w:p>
      <w:r>
        <w:rPr>
          <w:b/>
        </w:rPr>
        <w:t>E. 3</w:t>
      </w:r>
    </w:p>
    <w:p>
      <w:r>
        <w:t>Le recourant se plaint d'une violation des règles sur l'administration des preuves ( art. 140 al. 1 ss CPP ) dans la mesure où la police aurait obtenu ses déclarations sous contrainte psychologique en affirmant que son ADN avait été retrouvé sur des lieux de cambriolage alors qu'il avait été retrouvé sur un seul lieu d'infraction.</w:t>
      </w:r>
    </w:p>
    <w:p>
      <w:r>
        <w:t>Il ne ressort pas de l'arrêt cantonal, sans que le recourant ne dénonce un déni de justice formel sur ce point ( art. 106 al. 2 LTF ), qu'il aurait formulé cette critique dans le cadre de la procédure d'appel. Son grief est contraire au principe de la bonne foi en procédure, qui interdit de saisir les juridictions supérieures d'un éventuel vice qui aurait pu être invoqué dans une phase antérieure du procès ( art. 5 al. 3 Cst. ; cf. ATF 143 IV 397 consid. 3.4.2). Il est dès lors irrecevable faute d'épuisement des instances cantonales ( art. 80 al. 1 LTF ).</w:t>
      </w:r>
    </w:p>
    <w:p>
      <w:r>
        <w:rPr>
          <w:b/>
        </w:rPr>
        <w:t>E. 4</w:t>
      </w:r>
    </w:p>
    <w:p>
      <w:r>
        <w:t>Bien qu'il se soit uniquement plaint de la durée de son expulsion en appel, le recourant conteste, par-devant la cour de céans, le principe même de son expulsion.</w:t>
      </w:r>
    </w:p>
    <w:p>
      <w:r>
        <w:t>Se pose dès lors la question de la recevabilité de ce grief, laquelle peut toutefois rester ouverte dans la mesure où l'expulsion ne prête en l'occurrence pas le flanc à la critique pour les raisons qui suivent.</w:t>
      </w:r>
    </w:p>
    <w:p>
      <w:r>
        <w:rPr>
          <w:b/>
        </w:rPr>
        <w:t>E. 4.1</w:t>
      </w:r>
    </w:p>
    <w:p>
      <w:r>
        <w:t>Aux termes de l' art. 66a al. 1 let . c et d CP, le juge expulse de Suisse l'étranger qui est condamné pour vol qualifié ou vol en lien avec une violation de domicile, quelle que soit la quotité de la peine prononcée à son encontre, pour une durée de cinq à quinze ans. Le recourant remplit donc a priori les conditions d'une expulsion, sous la réserve de l' art. 66a al. 2 CP , voire également des normes internationales.</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147 IV 105 consid. 4.2; 147 I 268 consid. 1.2.3). Il peut y être fait référence.</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arrêt 6B_53/2025 du 19 mars 2025 consid. 4.1.4).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 52166/09] § 54; cf. aussi: ATF 145 IV 455 consid. 9.1; arrêt 6B_53/2025 précité consid. 4.1.4).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consid. 9.4; 135 II 110 consid. 4.2; arrêt 6B_53/2025 précité consid. 4.1.4).</w:t>
      </w:r>
    </w:p>
    <w:p>
      <w:r>
        <w:rPr>
          <w:b/>
        </w:rPr>
        <w:t>E. 4.2</w:t>
      </w:r>
    </w:p>
    <w:p>
      <w:r>
        <w:t>Souffrant d'un cancer métastatique nécessitant un traitement d'immunothérapie spécialisé, actuellement administré en Suisse avec succès, le recourant estime que son expulsion le placerait dans une situation personnelle grave ou serait disproportionnée sous l'angle de l' art. 8 par. 2 CEDH .</w:t>
      </w:r>
    </w:p>
    <w:p>
      <w:r>
        <w:rPr>
          <w:b/>
        </w:rPr>
        <w:t>E. 4.3</w:t>
      </w:r>
    </w:p>
    <w:p>
      <w:r>
        <w:t>En l'espèce, sous l'angle du droit au respect de la vie privée, il ressort de l'arrêt attaqué et du jugement de première instance - auquel la cour cantonale renvoie implicitement ( art. 82 al. 4 CPP ; jugement de première instance, p. 35) - que le recourant est un ressortissant roumain sans permis de séjour valable en Suisse, sans domicile et sans attaches avec ce pays hormis les nombreuses infractions pénales dont il est rendu responsable. Il se trouvait sur le territoire helvétique uniquement pour commettre des vols et après avoir fait l'objet de plusieurs condamnations dans d'autres pays, notamment six ans de prison en Allemagne. Il a fait métier de son activité délictuelle et les bénéfices qu'il a tirés de ses agissements illégaux semblent constituer sa seule source avérée de revenus et de moyens de subsistance. Il est célibataire et a une fille de onze ans qui vit en Roumanie. Au vu des éléments qui précèdent, le recourant ne peut pas se prévaloir d'une intégration socio-économique et professionnelle réussie.</w:t>
      </w:r>
    </w:p>
    <w:p>
      <w:r>
        <w:t>Concernant son état de santé, le recourant ne soutient pas que son expulsion empêcherait le suivi médical mis en place en Suisse en Roumanie (cf. arrêt attaqué, p. 14). Il fait toutefois valoir qu'il est à craindre que les infrastructures médicales limitées, les délais d'accès aux soins et l'absence d'une continuité immédiate dans son traitement aggravent considérablement son état. Sa critique se limite toutefois à des assertions personnelles. Rien n'indique que ses problèmes de santé ne pourront pas être suivis correctement dans son pays d'origine.</w:t>
      </w:r>
    </w:p>
    <w:p>
      <w:r>
        <w:t>S'agissant d'une éventuelle atteinte à la vie familiale, il appert que le recourant n'est pas marié, qu'il n'a pas de famille en Suisse et que sa fille vit en Roumanie.</w:t>
      </w:r>
    </w:p>
    <w:p>
      <w:r>
        <w:t>Dans ces conditions, le recourant ne se trouve pas dans une situation personnelle grave et ne peut pas se prévaloir d'un droit au respect de sa ville privée ou familiale au sens de l' art. 8 par. 1 CEDH .</w:t>
      </w:r>
    </w:p>
    <w:p>
      <w:r>
        <w:t>La première condition pour l'application de l' art. 66a al. 2 CP n'étant pas réalisée, le prononcé de l'expulsion du recourant ne viole pas le droit fédéral ou conventionnel.</w:t>
      </w:r>
    </w:p>
    <w:p>
      <w:r>
        <w:t>Pour le surplus, la seconde condition n'est également pas réalisée dans le cas d'espèce. En effet, l'intérêt public à l'expulsion du recourant l'emporte sur son intérêt privé à demeurer en Suisse compte tenu notamment de la gravité des faits qui lui sont reprochés (cf.</w:t>
      </w:r>
    </w:p>
    <w:p>
      <w:r>
        <w:t>supra let. B.c.), de son intégration inexistante en Suisse, du risque élevé de récidive d'infractions similaires, la commission d'infractions contre le patrimoine constituant son unique moyen de subsistance (cf. arrêt attaqué, p. 14 avec référence au jugement de première instance, p. 40; cf. également</w:t>
      </w:r>
    </w:p>
    <w:p>
      <w:r>
        <w:t>supra let. B.a) et de la menace qu'il représente ainsi pour l'ordre public.</w:t>
      </w:r>
    </w:p>
    <w:p>
      <w:r>
        <w:t>Pour autant que recevable, ce grief s'avère infondé.</w:t>
      </w:r>
    </w:p>
    <w:p>
      <w:r>
        <w:rPr>
          <w:b/>
        </w:rPr>
        <w:t>E. 5</w:t>
      </w:r>
    </w:p>
    <w:p>
      <w:r>
        <w:t>Subsidiairement, le recourant affirme que la durée de l'expulsion serait disproportionnée compte tenu de ses circonstances personnelles.</w:t>
      </w:r>
    </w:p>
    <w:p>
      <w:r>
        <w:rPr>
          <w:b/>
        </w:rPr>
        <w:t>E. 5.1</w:t>
      </w:r>
    </w:p>
    <w:p>
      <w:r>
        <w:t>La juridiction d'appel dispose d'un large pouvoir d'appréciation quant à la durée de la mesure d'expulsion (cf. arrêts 6B_566/2024 du 3 mars 2025 consid. 4.1; 6B_1371/2023 du 7 novembre 2024 consid. 5.1).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6B_566/2024 précité consid. 4.1 6B_1371/2023 précité consid. 5.1).</w:t>
      </w:r>
    </w:p>
    <w:p>
      <w:r>
        <w:rPr>
          <w:b/>
        </w:rPr>
        <w:t>E. 5.2</w:t>
      </w:r>
    </w:p>
    <w:p>
      <w:r>
        <w:t>La cour cantonale a considéré que la durée de la mesure d'expulsion était justifiée par la présence d'un risque de récidive concret susceptible de perdurer dans le temps vu l'intensité de ses activités délictuelles, aussi bien en Suisse qu'à l'étranger, et compte tenu du fait que la commission d'infractions contre le patrimoine constituait son unique moyen de subsistance.</w:t>
      </w:r>
    </w:p>
    <w:p>
      <w:r>
        <w:rPr>
          <w:b/>
        </w:rPr>
        <w:t>E. 5.3</w:t>
      </w:r>
    </w:p>
    <w:p>
      <w:r>
        <w:t>Au vu de ce qui précède concernant l'état de santé du recourant (cf.</w:t>
      </w:r>
    </w:p>
    <w:p>
      <w:r>
        <w:t>supra consid. 4.3) et compte tenu du risque de récidive, ainsi que de la nature et de la gravité des infractions qu'il est susceptible de commettre à l'avenir, la cour cantonale n'a pas outrepassé son large pouvoir d'appréciation en confirmant la durée d'expulsion de quinze ans fixée par le tribunal de première instance. Le grief doit être rejeté.</w:t>
      </w:r>
    </w:p>
    <w:p>
      <w:r>
        <w:rPr>
          <w:b/>
        </w:rPr>
        <w:t>E. 6</w:t>
      </w:r>
    </w:p>
    <w:p>
      <w:r>
        <w:t>Au vu de ce qui précède, le recours doit être rejeté dans la mesure de sa faible recevabilité. Au vu du sort du recours, la demande d'assistance judiciaire doit être rejetée ( art. 64 al. 1 LTF ), faute de chances de succès.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