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6B_985/2020 vom 23. September 2021</w:t>
      </w:r>
    </w:p>
    <w:p>
      <w:r>
        <w:t>Bundesgericht, 2021-09-23, FR</w:t>
      </w:r>
    </w:p>
    <w:p>
      <w:r>
        <w:rPr>
          <w:b/>
        </w:rPr>
        <w:t xml:space="preserve">Quelle: </w:t>
      </w:r>
      <w:r>
        <w:t>https://mcp.opencaselaw.ch/entscheid/bger_6B_985_2020</w:t>
      </w:r>
    </w:p>
    <w:p>
      <w:r>
        <w:t>FR: TF 6B_985/2020 du 23 septembre 2021</w:t>
      </w:r>
    </w:p>
    <w:p>
      <w:r>
        <w:t>IT: TF 6B_985/2020 del 23 settembre 2021</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En l'espèce, il y a lieu d'admettre, compte tenu de la qualité d'héritiers des recourants (cf. art. 121 CPP ), eu égard également au montant du dommage, par 2'738 fr. 10, et du tort moral, par 20'000 fr., invoqués, ainsi que de la nature des infractions dénoncées, que la décision querellée peut avoir des effets sur le jugement de leurs prétentions civiles et qu'ils ont qualité pour recourir. Il convient d'entrer en matière. Le recours constitutionnel subsidiaire qu'entendent également déposer les recourants est exclu ( art. 113 LTF ). Les griefs qu'ils soulèvent dans ce contexte pouvant néanmoins être examinés dans le cadre de leur recours en matière pénale.</w:t>
      </w:r>
    </w:p>
    <w:p>
      <w:r>
        <w:rPr>
          <w:b/>
        </w:rPr>
        <w:t>E. 2</w:t>
      </w:r>
    </w:p>
    <w:p>
      <w:r>
        <w:t>Les recourants contestent la confirmation du classement de la procédure en invoquant une violation des art. 6 CPP , respectivement 29 al. 2 Cst., et 310 CPP (recte: art. 319 CPP ), ainsi que du principe "in dubio pro duriore". Ils font également valoir que les faits ont été constatés de façon manifestement inexacte et se plaignent à cet égard d'arbitraire. On comprend également qu'il reproche à la cour cantonale d'avoir examiné la cause uniquement en référence à la qualification d'homicide par négligence ( art. 117 CP ), sans envisager celle de lésions corporelles par négligence ( art. 125 CP ).</w:t>
      </w:r>
    </w:p>
    <w:p>
      <w:r>
        <w:rPr>
          <w:b/>
        </w:rPr>
        <w:t>E. 2.1.1</w:t>
      </w:r>
    </w:p>
    <w:p>
      <w:r>
        <w:t>Selon la maxime de l'instruction posée à l' art. 6 CPP , les autorités pénales doivent rechercher d'office tous les faits pertinents pour la qualification de l'acte et le jugement du prévenu (al. 1). Elles doivent instruire avec un soin égal les circonstances qui peuvent être à la charge et à la décharge du prévenu (al. 2).</w:t>
      </w:r>
    </w:p>
    <w:p>
      <w:r>
        <w:t>La maxime de l'instruction n'oblige toutefois pas l'autorité à administrer des preuves d'office, respectivement requises, lorsque les preuves administrées lui ont permis de se forger une conviction et que, procédant d'une manière non arbitraire à une appréciation anticipée d'autres preuves, elle a la certitude qu'elles ne pourraient pas l'amener à modifier son opinion ( art. 139 al. 2 CPP ; cf. arrêts 6B_150/2020 du 19 mai 2020 consid. 3.1; 6B_178/2020 du 20 mars 2020 consid. 1.1; 6B_713/2019 du 12 juillet 2019 consid. 2.2). Le droit d'être entendu, tel qu'il est garanti par l' art. 29 al. 2 Cst. (cf. aussi art. 3 al. 2 let . c CPP), n'accorde pas de droits plus étendus en matière d'administration de preuves que ceux découlant notamment de la maxime de l'instruction (arrêts 6B_150/2020 précité consid. 3.1; arrêts 6B_738/2019 du 27 novembre 2019 consid. 4.2; 6B_713/2019 précité consid. 1.2).</w:t>
      </w:r>
    </w:p>
    <w:p>
      <w:r>
        <w:rPr>
          <w:b/>
        </w:rPr>
        <w:t>E. 2.1.2</w:t>
      </w:r>
    </w:p>
    <w:p>
      <w:r>
        <w:t>Aux termes de l' art. 319 al. 1 CPP , le ministère public ordonne le classement de tout ou partie de la procédure notamment lorsqu'aucun soupçon justifiant une mise en accusation n'est établi (let. a) ou encore lorsque les éléments constitutifs d'une infraction ne sont pas réunis (let. b).</w:t>
      </w:r>
    </w:p>
    <w:p>
      <w:r>
        <w:t>Cette disposition doit être appliquée conformément au principe "in dubio pro duriore". Celui-ci découle du principe de la légalité ( art. 5 al. 1 Cst. et art. 2 al. 2 CPP en relation avec les art. 319 al. 1 et 324 al. 1 CPP; ATF 138 IV 86 consid. 4.2 p. 91)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2.1.3</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146 IV 88 consid. 1.3.1 p. 91 s.; ATF 145 IV 154 consid. 1.1 p. 155 s.). Une décision n'est pas arbitraire du seul fait qu'elle apparaît discutable ou même critiquable; il faut qu'elle soit manifestement insoutenable et cela non seulement dans sa motivation mais aussi dans son résultat (ibid.).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pour clairement établi ( ATF 143 IV 241 consid. 2.3.2 p. 244 s.; arrêt 6B_400/2020 du 20 janvier 2021 consid. 3.2 et les références citées). Le Tribunal fédéral n'entre en matière sur les moyens fondés sur la violation de droits fondamentaux, dont l'interdiction de l'arbitraire, que s'ils ont été invoqués et motivés de manière précise ( art. 106 al. 2 LTF ; ATF 146 IV 114 consid. 2.1 p. 118; ATF 143 IV 500 consid. 1.1 p. 503). Les critiques de nature appellatoire sont irrecevables ( ATF 146 IV 114 consid. 2.1 p. 118; 145 IV 154 consid. 1.1 p. 156).</w:t>
      </w:r>
    </w:p>
    <w:p>
      <w:r>
        <w:rPr>
          <w:b/>
        </w:rPr>
        <w:t>E. 2.1.4</w:t>
      </w:r>
    </w:p>
    <w:p>
      <w:r>
        <w:t>Celui qui, par négligence, aura causé la mort d'une personne sera puni d'une peine privative de liberté de trois ans au plus ou d'une peine pécuniaire ( art. 117 CP ). Celui qui, par négligence, aura fait subir à une personne une atteinte à l'intégrité corporelle ou à la santé sera, sur plainte, puni d'une peine privative de liberté de trois ans au plus ou d'une peine pécuniaire ( art. 125 al. 1 CP ). Si la lésion est grave, le délinquant sera poursuivi d'office ( art. 125 al. 2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w:t>
      </w:r>
    </w:p>
    <w:p>
      <w:r>
        <w:t>Une condamnation pour homicide par négligence au sens de l' art. 117 CP , respectivement pour lésions corporelles par négligence au sens de l' art. 125 CP , suppose ainsi la réalisation de trois éléments constitutifs, à savoir le décès d'une personne, respectivement des lésions corporelles subies par la victime, une négligence, ainsi qu'un rapport de causalité naturelle et adéquate entre les deux premiers éléments (cf. ATF 122 IV 145 consid. 3 p. 147; arrêt 6B_33/2021 du 12 juillet 2021 consid. 3.1 et l'arrêt cité).</w:t>
      </w:r>
    </w:p>
    <w:p>
      <w:r>
        <w:t>Les concepts de causalité adéquate et naturelle ont été rappelés récemment aux ATF 143 III 242 consid. 3.7 p. 249 s. et 142 IV 237 consid. 1.5 p. 244, et ont notamment été précisés aux ATF 133 IV 158 consid. 6.1 p. 167 s. et 131 IV 145 consid. 5 p. 147 ss, auxquels il convient de se référer.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135 IV 56 consid. 2.1 p. 64 s.; 134 IV 255 consid. 4.4.2 p. 265 s.; 133 IV 158 consid. 6.1 p. 168 et les références citées).</w:t>
      </w:r>
    </w:p>
    <w:p>
      <w:r>
        <w:rPr>
          <w:b/>
        </w:rPr>
        <w:t>E. 2.2</w:t>
      </w:r>
    </w:p>
    <w:p>
      <w:r>
        <w:t>En l'espèce, les recourants critiquent en particulier le constat selon lequel feu D.A.________ circulait à une vitesse nettement inadaptée au moment de son accident. Pour eux, ce constat serait entaché d'arbitraire. Ils dénoncent également, sur ce point, une violation de la maxime d'instruction et de leur droit d'être entendu, en soutenant qu'à défaut d'expertise technique idoine, le fait en question ne pouvait être retenu.</w:t>
      </w:r>
    </w:p>
    <w:p>
      <w:r>
        <w:t>La cour cantonale a cependant forgé sa conviction concernant la vitesse à laquelle circulait le prénommé en relevant qu'à leur arrivée sur place, les policiers avaient pu constater que le quatrième rapport de la boîte de vitesse du motocycle était engagé. Tout en retenant que cet élément tendait à démontrer que le prénommé roulait à une vitesse élevée, elle a également considéré que, contrairement à ce qu'avançaient les recourants devant elle, on ne voyait pas en quoi la seule chute du véhicule au sol aurait eu pour conséquence l'engagement de ce rapport de vitesse. Les photographies versées au dossier permettaient de constater que le levier avait été fortement endommagé et qu'il était ainsi impossible que la chute ait à elle-seule entraîné l'enclenchement du rapport en question. Selon la cour cantonale, l'enclenchement du rapport avait manifestement été réalisé antérieurement au choc par le motard lui-même. Pour la cour cantonale toujours, les éléments précités dispensaient le ministère public d'instruire ce point plus avant ou d'ordonner une expertise technique à cet égard.</w:t>
      </w:r>
    </w:p>
    <w:p>
      <w:r>
        <w:t>En considérant que l'accident s'est produit sur un tronçon situé en localité, en légère montée, et limité à 50 km/h, il n'apparaît pas insoutenable d'avoir tenu l'existence d'une vitesse nettement inadaptée pour établie au regard du rapport de boîte de vitesse - le quatrième - engagé au moment des faits. Il n'apparaît pas non plus insoutenable de retenir, sur cette même base, que le ministère public était dispensé d'instruire plus avant cette question. Au demeurant, les recourants ne soutiennent pas avoir soulevé la question d'une expertise technique relative à la vitesse à laquelle circulait feu D.A.________ avant la saisine de l'autorité de recours, plus de quatre ans après les faits. Leurs griefs s'avèrent ainsi mal fondés et doivent être rejetés.</w:t>
      </w:r>
    </w:p>
    <w:p>
      <w:r>
        <w:rPr>
          <w:b/>
        </w:rPr>
        <w:t>E. 2.3</w:t>
      </w:r>
    </w:p>
    <w:p>
      <w:r>
        <w:t>Cela étant, les recourants précisent dans leur mémoire ne plus contester que feu D.A.________ ne disposait pas du permis de conduire requis pour le motocycle, d'une puissance de 113 kw, au guidon duquel il se trouvait lors de son accident. A cet égard, la cour cantonale a relevé que le véhicule en question avait une puissance largement supérieur à la limite de 25 kw fixée par le permis dont il était titulaire. En tout état de cause, la cour cantonale a relevé qu'il était très probable que le défunt n'était pas à même de maîtriser totalement et en toutes circonstances son véhicule, tout en revenant sur le constat selon lequel sa vitesse était, quoi qu'il en soit, nettement inadaptée. En ce sens et dans la mesure où ce constat n'apparaît insoutenable, la discussion à laquelle se livrent les recourants au sujet des aptitudes concrètes du défunt à la conduite de son motocycle, y compris en invoquant un manque d'instruction sur ce point, n'ont guère de pertinence et ne saurait remettre en cause le fait que le défunt ne disposait pas du permis idoine pour conduire un tel véhicule. Les griefs correspondants s'avèrent à leur tour infondés.</w:t>
      </w:r>
    </w:p>
    <w:p>
      <w:r>
        <w:rPr>
          <w:b/>
        </w:rPr>
        <w:t>E. 2.4</w:t>
      </w:r>
    </w:p>
    <w:p>
      <w:r>
        <w:t>Plus généralement, les recourants critiquent la motivation cantonale en soutenant, comme devant l'autorité précédente, que l'accident trouve son origine dans la présence du chantier situé à proximité du lieu où il est survenu, que le pneumatique avant du motocycle a éclaté au franchissement de la fouille et que cette dernière était signalée de façon défectueuse.</w:t>
      </w:r>
    </w:p>
    <w:p>
      <w:r>
        <w:t>Contrairement à ce que les recourants semblent soutenir, la cour cantonale n'a pas ignoré les photographies produites par leur soin et n'a pas fait état d'un simple changement de revêtement sur la chaussée. Elle a en effet évoqué, en se référant précisément à des photographies produites par eux (cf. ordonnance attaquée, p. 8 avec références à MPC 2015 1135, p. 12 s.), en rapport avec la fouille, une différence d'environ 5 cm entre le niveau de la plateforme de terre concassée et le bord du bitume, tout en faisant état d'un phénomène usuel dans ce type de chantier et une différence qui s'avérait encore peu importante. Dans cette perspective, la cour cantonale a retenu qu'il était peu probable, contrairement à ce qui était avancé par les recourants, que le pneumatique avant du motocycle impliqué ait éclaté à la suite du seul franchissement de cet obstacle. Elle a également relevé qu'il ne ressortait pas du dossier qu'un tel dommage serait survenu, tant en ce qui concerne le véhicule du défunt que ceux d'autres motards. Quoi qu'en disent les recourants, il n'apparaît pas que la photographie figurant au dossier et à laquelle ils se réfèrent (MPC 2015 1135, p. 15) soit de nature à établir le fait qu'ils allèguent et, inversement, d'infirmer les constatations cantonales sur l'absence d'élément au dossier à cet égard. Au surplus, les recourants ne prétendent pas avoir dûment critiqué l'établissement des faits et l'instruction sur ce point devant l'autorité précédente, si bien que les griefs qu'ils soulèvent à cet égard se révèlent irrecevables (cf. art. 80 al. 1 LTF ).</w:t>
      </w:r>
    </w:p>
    <w:p>
      <w:r>
        <w:t>Toujours est-il que, comme relevé plus haut, la cour cantonale a encore retenu que la place de la fouille était visible de loin, que les recourants ne contestaient pas que les conditions de visibilité étaient bonnes le jour de l'accident et que le chantier se trouvait sur un tronçon rectiligne, bien avant le virage à gauche. Selon la cour cantonale toujours, un conducteur circulant à une vitesse adaptée aux circonstances aurait donc à tout le moins été en mesure de cerner la différence d'apparence du revêtement de la chaussée et de ralentir sensiblement au besoin. Pour ces motifs, les quelques arbustes situés aux abords du panneau de signalisation "Travaux" situé à cet endroit et le camouflant très légèrement ne pouvaient y changer quoi que ce soit. Il apparaît également que le défunt avait connaissance du chantier, dès lors qu'il empruntait régulièrement la route en question.</w:t>
      </w:r>
    </w:p>
    <w:p>
      <w:r>
        <w:rPr>
          <w:b/>
        </w:rPr>
        <w:t>E. 2.5</w:t>
      </w:r>
    </w:p>
    <w:p>
      <w:r>
        <w:t>En définitive, les éléments précités permettent de considérer que la cour cantonale pouvait, sans violer le droit fédéral, retenir que le défunt était seul en cause dans son accident, respectivement que son comportement avait relégué à l'arrière-plan les questions liées à l'état de la chaussée aux abords de l'accident. Au demeurant, cette motivation conserve sa pertinence aussi bien sous l'angle de l' art. 117 CP , explicitement évoqué par la cour cantonale, que sous l'angle de l' art. 125 CP , qu'invoquent également les recourants. La cour cantonale était par conséquent fondée à confirmer le classement prononcé par le ministère public.</w:t>
      </w:r>
    </w:p>
    <w:p>
      <w:r>
        <w:rPr>
          <w:b/>
        </w:rPr>
        <w:t>E. 3</w:t>
      </w:r>
    </w:p>
    <w:p>
      <w:r>
        <w:t>Il s'ensuit que le recours doit être rejeté dans la mesure où il est recevable. Les recourants,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