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6B_983/2023 vom 21. Dezember 2023</w:t>
      </w:r>
    </w:p>
    <w:p>
      <w:r>
        <w:t>Bundesgericht, 2023-12-21, FR</w:t>
      </w:r>
    </w:p>
    <w:p>
      <w:r>
        <w:rPr>
          <w:b/>
        </w:rPr>
        <w:t xml:space="preserve">Quelle: </w:t>
      </w:r>
      <w:r>
        <w:t>https://mcp.opencaselaw.ch/entscheid/bger_6B_983_2023</w:t>
      </w:r>
    </w:p>
    <w:p>
      <w:r>
        <w:t>FR: TF 6B_983/2023 du 21 décembre 2023</w:t>
      </w:r>
    </w:p>
    <w:p>
      <w:r>
        <w:t>IT: TF 6B_983/2023 del 21 dicembre 2023</w:t>
      </w:r>
    </w:p>
    <w:p>
      <w:pPr>
        <w:pStyle w:val="Heading2"/>
      </w:pPr>
      <w:r>
        <w:t>Erwägungen</w:t>
      </w:r>
    </w:p>
    <w:p>
      <w:r>
        <w:rPr>
          <w:b/>
        </w:rPr>
        <w:t>E. 1</w:t>
      </w:r>
    </w:p>
    <w:p>
      <w:r>
        <w:t>Le recourant se plaint d'arbitraire dans l'établissement des faits et d'une violation du principe</w:t>
      </w:r>
    </w:p>
    <w:p>
      <w:r>
        <w:t>in dubio pro reo en lien avec l'usage du cutter. Il en conclut que seul un brigandage qualifié au sens de l' art. 140 ch. 2 CP devrait être retenu, faute de mise en danger concrète de la vie de B.________.</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Les critiques de nature appellatoire sont irrecevables ( ATF 148 IV 409 consid. 2.2; 147 IV 73 consid. 4.1.3).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IV 73 consid. 4.1.2). Lorsque l'appréciation des preuves et la constatation des faits sont critiquées en référence à la présomption d'innocence ou à son corollaire, le principe</w:t>
      </w:r>
    </w:p>
    <w:p>
      <w:r>
        <w:t>in dubio pro reo , ceux-ci n'ont pas de portée plus large que l'interdiction de l'arbitraire (voir ATF 148 IV 409 consid. 2.2; 146 IV 88 consid. 1.3.1).</w:t>
      </w:r>
    </w:p>
    <w:p>
      <w:r>
        <w:rPr>
          <w:b/>
        </w:rPr>
        <w:t>E. 1.2</w:t>
      </w:r>
    </w:p>
    <w:p>
      <w:r>
        <w:t>La cour cantonale a considéré que, quand bien même un doute subsisterait quant au contact avec le cou, la lame du cutter s'était trouvée à proximité directe, ce d'autant plus que la victime était empoignée et limitée dans sa respiration. Elle a estimé que la situation décrite par les témoins correspondait à une mise en danger mortelle. Enfin, elle a jugé que le prévenu n'était pas crédible lorsqu'il affirmait, après avoir longuement contesté l'usage d'un cutter et entaillé le casque de la victime, avoir placé un doigt entre la lame et le cou de ce dernier.</w:t>
      </w:r>
    </w:p>
    <w:p>
      <w:r>
        <w:rPr>
          <w:b/>
        </w:rPr>
        <w:t>E. 1.3</w:t>
      </w:r>
    </w:p>
    <w:p>
      <w:r>
        <w:t>En l'espèce, le recourant oppose sa propre appréciation des événements à celle de la cour cantonale dans une démarche purement appellatoire, partant irrecevable ( art. 106 al. 2 LTF ). C'est le cas lorsque lorsqu'il affirme qu'il n'aurait jamais posé la lame sur la gorge de la victime ou qu'il n'aurait posé que la partie en plastique sur le cou de celle-ci.</w:t>
      </w:r>
    </w:p>
    <w:p>
      <w:r>
        <w:t>En tant que le recourant s'en prend à l'établissement des faits du jugement de première instance, le grief soulevé est irrecevable, seule la décision cantonale étant susceptible d'être attaquée (cf. art. 80 LTF ). Le recourant ne formule aucune critique recevable.</w:t>
      </w:r>
    </w:p>
    <w:p>
      <w:r>
        <w:rPr>
          <w:b/>
        </w:rPr>
        <w:t>E. 2</w:t>
      </w:r>
    </w:p>
    <w:p>
      <w:r>
        <w:t>Le recourant reproche à la cour cantonale d'avoir refusé l'audition de sa fille, en violation de son droit d'être entendu et en contradiction avec les art. 3, 9 et 12 par. 2 de la Convention relative aux droits de l'enfant (CDE; RS 0.107).</w:t>
      </w:r>
    </w:p>
    <w:p>
      <w:r>
        <w:rPr>
          <w:b/>
        </w:rPr>
        <w:t>E. 2.1</w:t>
      </w:r>
    </w:p>
    <w:p>
      <w:r>
        <w:t>La cour cantonale a jugé que l'audition de la fille du recourant n'était, d'une part, pas utile au traitement de l'appel et, de l'autre, pas justifiée au regard de l' art. 12 par. 2 CDE - qui prévoit que l'enfant peut être entendu dans toute procédure judiciaire l'intéressant - car leur lien étroit est suffisamment établi.</w:t>
      </w:r>
    </w:p>
    <w:p>
      <w:r>
        <w:rPr>
          <w:b/>
        </w:rPr>
        <w:t>E. 2.2</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w:t>
      </w:r>
    </w:p>
    <w:p>
      <w:r>
        <w:t>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6B_1040/2022 du 23 août 2023 consid. 1.1; 6B_182/2022 du 25 janvier 2023 consid. 1.2).</w:t>
      </w:r>
    </w:p>
    <w:p>
      <w:r>
        <w:rPr>
          <w:b/>
        </w:rPr>
        <w:t>E. 2.3</w:t>
      </w:r>
    </w:p>
    <w:p>
      <w:r>
        <w:t>A teneur de l' art. 12 CDE , les États parties garantissent à l'enfant qui est capable de discernement le droit d'exprimer librement son opinion sur toute question l'intéressant, les opinions de l'enfant étant dûment prises en considération eu égard à son âge et à son degré de maturité (par. 1). 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(par. 2). L' art. 12 CDE est une norme directement applicable, dont la violation peut être alléguée devant le Tribunal fédéral ( ATF 147 I 149 consid. 3.2; 144 II 1 consid. 6.5; 124 III 90 consid. 3a).</w:t>
      </w:r>
    </w:p>
    <w:p>
      <w:r>
        <w:rPr>
          <w:b/>
        </w:rPr>
        <w:t>E. 2.4</w:t>
      </w:r>
    </w:p>
    <w:p>
      <w:r>
        <w:t>Il ressort du jugement attaqué que, contrairement à ce qu'affirme le recourant, la cour cantonale n'a pas ignoré l'intensité de la relation qui unit le recourant à sa fille, que ce soit du point de vue du droit d'être entendu du père ou de celui de l'enfant sur la base de l' art. 12 par. 2 CDE . Elle a en effet pris en compte les déclarations du recourant et celles de la mère de l'enfant pour considérer qu'ils avaient conservé de forts liens (cf. arrêt attaqué, p. 11). L'argumentation du recourant n'est dès lors pas propre à démontrer en quoi l'appréciation anticipée de la pertinence du moyen de preuve serait manifestement insoutenable ou qu'elle violerait l' art. 12 par. 2 CDE . Il ne fait qu'opposer sa propre appréciation à celle de la cour cantonale dans une démarche purement appellatoire, partant irrecevable.</w:t>
      </w:r>
    </w:p>
    <w:p>
      <w:r>
        <w:t>Enfin, en tant que le recourant se prévaut de l' art. 9 CDE , qui dispose que les États parties veillent à ce que l'enfant ne soit pas séparé de ses parents contre leur gré, on se limitera à relever que cette disposition n'est pas pertinente ici. En tout état de cause, le recourant ne saurait déduire un droit à demeurer en Suisse des dispositions de la CDE (cf. ATF 140 I 145 consid. 3.2; 139 I 315 consid. 2.4 et 2.5; arrêt 6B_770/2018 du 24 septembre 2018 consid. 3).</w:t>
      </w:r>
    </w:p>
    <w:p>
      <w:r>
        <w:rPr>
          <w:b/>
        </w:rPr>
        <w:t>E. 3</w:t>
      </w:r>
    </w:p>
    <w:p>
      <w:r>
        <w:t>Le recourant fait grief à la cour cantonale d'avoir violé l' art. 66a al. 2 CP , en lien avec l' art. 8 CEDH , en prononçant son expulsion du territoire suisse.</w:t>
      </w:r>
    </w:p>
    <w:p>
      <w:r>
        <w:rPr>
          <w:b/>
        </w:rPr>
        <w:t>E. 3.1</w:t>
      </w:r>
    </w:p>
    <w:p>
      <w:r>
        <w:t>Aux termes de l' art. 66a al. 1 let . c CP, le juge expulse de Suisse l'étranger qui est condamné notamment pour brigandage ( art. 140 CP ), quelle que soit la quotité de la peine prononcée à son encontre, pour une durée de 5 à 15 ans.</w:t>
      </w:r>
    </w:p>
    <w:p>
      <w:r>
        <w:t>L' art. 66a al. 2 CP prévoit que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144 IV 332 consid. 3.3).</w:t>
      </w:r>
    </w:p>
    <w:p>
      <w:r>
        <w:rPr>
          <w:b/>
        </w:rPr>
        <w:t>E. 3.2</w:t>
      </w:r>
    </w:p>
    <w:p>
      <w:r>
        <w:t>La clause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6B_122/2023 du 27 avril 2023 consid. 1.1.2; 6B_1116/2022 du 21 avril 2023 consid. 3.1.1; 6B_627/2022 du 6 mars 2023 consid. 2.1.1 destiné à la publication).</w:t>
      </w:r>
    </w:p>
    <w:p>
      <w:r>
        <w:rPr>
          <w:b/>
        </w:rPr>
        <w:t>E. 3.3</w:t>
      </w:r>
    </w:p>
    <w:p>
      <w:r>
        <w:t>L' art. 8 par. 1 CEDH dispose que toute personne a en particulier droit au respect de sa vie privée et familiale.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6B_348/2023 du 28 avril 2023 consid. 2.4; 6B_1116/2022 du 21 avril 2023 consid. 3.1.2). Un séjour légal de dix années suppose en principe une bonne intégration de l'étranger ( ATF 144 I 266 consid. 3.9). 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 ATF 146 IV 105 consid. 3.4.4).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Les relations entre enfants adultes et leurs parents ne bénéficient en revanche pas de la protection de l' art. 8 CEDH , sauf s'il existe entre eux une relation de dépendance qui va au-delà de liens affectifs normaux, par exemple en raison d'une maladie ou d'un handicap ( ATF 137 I 154 consid. 3.4.2; arrêt 6B_1116/2022 du 21 avril 2023 consid. 3.1.2). Dans la pesée des intérêts, il faut aussi tenir compte de l'intérêt supérieur de l'enfant et de son bien-être ( art. 3 CDE ;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6B_244/2023 du 25 août 2023 consid. 6.3).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6B_244/2023 du 25 août 2023 consid. 6.3; 6B_1116/2022 du 21 avril 2023 consid. 3.1.3).</w:t>
      </w:r>
    </w:p>
    <w:p>
      <w:r>
        <w:rPr>
          <w:b/>
        </w:rPr>
        <w:t>E. 3.4</w:t>
      </w:r>
    </w:p>
    <w:p>
      <w:r>
        <w:t>En l'espèce, la cour cantonale a estimé que la clause de rigueur ne trouvait pas application, malgré la présence de la fille mineure du recourant en Suisse, compte tenu de la gravité de l'atteinte à l'ordre public et faute d'intégration réussie et de rupture d'une communauté familiale précédemment intacte, puisque le recourant n' a pas la garde de sa fille et qu'il la voyait, avant sa détention, un week-end sur deux, soit dans le cadre d'un droit de visite usuel.</w:t>
      </w:r>
    </w:p>
    <w:p>
      <w:r>
        <w:rPr>
          <w:b/>
        </w:rPr>
        <w:t>E. 3.5</w:t>
      </w:r>
    </w:p>
    <w:p>
      <w:r>
        <w:t>Le recourant oppose avoir grandi en Suisse, puisqu'il y est arrivé à l'âge de six ans et y a suivi l'ensemble de sa scolarité, ainsi que la présence, en Suisse, de ses proches, soit son père, ses frères et sa fille de 12 ans.</w:t>
      </w:r>
    </w:p>
    <w:p>
      <w:r>
        <w:rPr>
          <w:b/>
        </w:rPr>
        <w:t>E. 3.6</w:t>
      </w:r>
    </w:p>
    <w:p>
      <w:r>
        <w:t>Dans la mesure où la cour cantonale n'opère pas de distinction entre les deux conditions de l' art. 66a CP , la question de la situation personnelle grave du recourant (première condition) peut souffrir de rester indécise, dès lors que, quand bien même l'intéressé pourrait se prévaloir d'un droit découlant de l' art. 8 par. 1 CEDH sous l'angle du droit au respect de sa vie privée et familiale, l'intérêt public présidant à son expulsion l'emporte sur son intérêt privé à demeurer en Suisse (seconde condition).</w:t>
      </w:r>
    </w:p>
    <w:p>
      <w:r>
        <w:rPr>
          <w:b/>
        </w:rPr>
        <w:t>E. 3.7</w:t>
      </w:r>
    </w:p>
    <w:p>
      <w:r>
        <w:t>Les intérêts publics à l'expulsion du recourant sont importants. Il a en effet commis une infraction grave pour laquelle il a été condamné à une peine privative de liberté de cinq ans. La faute du recourant est importante. En mettant une lame de cutter sous la gorge de B.________, il a mis en danger la vie de ce dernier pour des motifs futiles.</w:t>
      </w:r>
    </w:p>
    <w:p>
      <w:r>
        <w:rPr>
          <w:b/>
        </w:rPr>
        <w:t>E. 3.8</w:t>
      </w:r>
    </w:p>
    <w:p>
      <w:r>
        <w:t>En rapport avec l'intérêt privé du recourant à demeurer en Suisse, il est vrai qu'il y a grandi, qu'il y a effectué sa scolarité obligatoire, que sa famille proche y vit, son père, ses frères et sa fille de 12 ans, et qu'il a donc un intérêt à y poursuivre sa vie de famille. Cela étant, il ressort du jugement attaqué (p. 25) qu'il n'a pas achevé de formation, qu'il est sans emploi, qu'il est endetté et qu'il bénéficie du RI. Il a également été condamné pour des infractions à la LStup et à la LCR, de sorte que son intégration ne saurait être qualifiée de bonne malgré le fait qu'il réside en Suisse depuis plus de trente ans.</w:t>
      </w:r>
    </w:p>
    <w:p>
      <w:r>
        <w:t>S'agissant des liens avec son pays d'origine, ils ne sont pas inexistants. Le recourant parle la langue, il s'y est d'ailleurs marié en 2008 et possède encore de la famille et sa belle-famille à qui il a régulièrement rendu visite. La mère de sa fille s'y rend d'ailleurs régulièrement en vacances, de sorte qu'aucun obstacle majeur ne vient s'interposer à sa réintégration.</w:t>
      </w:r>
    </w:p>
    <w:p>
      <w:r>
        <w:rPr>
          <w:b/>
        </w:rPr>
        <w:t>E. 3.9</w:t>
      </w:r>
    </w:p>
    <w:p>
      <w:r>
        <w:t>Par ailleurs, si l'on ne peut certes pas ignorer que l'expulsion est susceptible de porter atteinte aux relations entre le recourant et sa fille, il convient de relever que cette mesure reste d'une durée limitée, qu'il demeure envisageable que la vie de famille se poursuive à l'étranger, même si cela ne peut d'emblée être exigé, et que la mesure n'empêchera pas le recourant d'entretenir des contacts avec son enfant par le biais des moyens de télécommunication modernes, voire par le biais de visites de sa fille au Kosovo durant les vacances scolaires.</w:t>
      </w:r>
    </w:p>
    <w:p>
      <w:r>
        <w:rPr>
          <w:b/>
        </w:rPr>
        <w:t>E. 3.10</w:t>
      </w:r>
    </w:p>
    <w:p>
      <w:r>
        <w:t>En définitive, compte tenu notamment de la gravité des faits reprochés au recourant, de sa mauvaise intégration en Suisse, de la menace qu'il représente pour l'ordre et la sécurité publics et des perspectives qu'il conserve de se réintégrer dans son pays d'origine, l'intérêt public à son éloignement l'emporte sur son intérêt privé à demeurer en Suisse.</w:t>
      </w:r>
    </w:p>
    <w:p>
      <w:r>
        <w:t>L'une des conditions pour une application de l' art. 66a al. 2 CP faisant ainsi défaut, la cour cantonale n'a pas violé le droit fédéral en ordonnant l'expulsion du recourant.</w:t>
      </w:r>
    </w:p>
    <w:p>
      <w:r>
        <w:rPr>
          <w:b/>
        </w:rPr>
        <w:t>E. 4</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