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6B_983/2022 vom 28. September 2022</w:t>
      </w:r>
    </w:p>
    <w:p>
      <w:r>
        <w:t>Bundesgericht, 2022-09-28, FR</w:t>
      </w:r>
    </w:p>
    <w:p>
      <w:r>
        <w:rPr>
          <w:b/>
        </w:rPr>
        <w:t xml:space="preserve">Quelle: </w:t>
      </w:r>
      <w:r>
        <w:t>https://mcp.opencaselaw.ch/entscheid/bger_6B_983_2022</w:t>
      </w:r>
    </w:p>
    <w:p>
      <w:r>
        <w:t>FR: TF 6B_983/2022 du 28 septembre 2022</w:t>
      </w:r>
    </w:p>
    <w:p>
      <w:r>
        <w:t>IT: TF 6B_983/2022 del 28 settembre 2022</w:t>
      </w:r>
    </w:p>
    <w:p>
      <w:pPr>
        <w:pStyle w:val="Heading2"/>
      </w:pPr>
      <w:r>
        <w:t>Erwägungen</w:t>
      </w:r>
    </w:p>
    <w:p>
      <w:r>
        <w:rPr>
          <w:b/>
        </w:rPr>
        <w:t>E. 1</w:t>
      </w:r>
    </w:p>
    <w:p>
      <w:r>
        <w:t>Par ordonnance du 23 février 2022, le Ministère public de la République et canton de Genève a notamment classé la procédure ouverte contre A.________ à la suite de la plainte déposée par B.________ GmbH contre le prénommé pour infraction à la loi sur la concurrence déloyale, infraction à la loi sur la protection des marques, appropriation illégitime, abus de confiance et vol.</w:t>
      </w:r>
    </w:p>
    <w:p>
      <w:r>
        <w:t>Par arrêt du 24 juin 2022, la Chambre pénale de recours de la Cour de justice genevoise a partiellement admis le recours formé par B.________ GmbH, annulé l'ordonnance de classement du 23 février 2022 en tant qu'elle classait la procédure en lien avec la détention par A.________ de neuf objets appartenant à B.________ GmbH et renvoyé la cause au Ministère public genevois pour qu'il procède dans le sens des considérants.</w:t>
      </w:r>
    </w:p>
    <w:p>
      <w:r>
        <w:t>A.________ forme un recours en matière pénale au Tribunal fédéral contre l'arrêt précité. Il conclut, avec suite de frais et dépens, principalement, à sa réforme en ce sens que le classement de la procédure le concernant est prononcé, subsidiairement, à l'annulation de l'arrêt attaqué et au renvoi de la cause à l'autorité précédente pour qu'elle statue au sens des considérants.</w:t>
      </w:r>
    </w:p>
    <w:p>
      <w:r>
        <w:rPr>
          <w:b/>
        </w:rPr>
        <w:t>E. 2.1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1 et 2 LTF ; ATF 147 IV 453 consid. 1.4.8 p. 463 s.; 141 IV 1 consid. 1.1 p. 4; 138 III 537 consid. 1.2 p. 539).</w:t>
      </w:r>
    </w:p>
    <w:p>
      <w:r>
        <w:rPr>
          <w:b/>
        </w:rPr>
        <w:t>E. 2.2</w:t>
      </w:r>
    </w:p>
    <w:p>
      <w:r>
        <w:t>L'arrêt attaqué est de nature incidente (cf. art. 93 LTF ), dans la mesure où il ne met pas fin à la procédure pénale (cf. art. 90 LTF ) et aboutit au renvoi de la cause au ministère public pour qu'il poursuive la procédure.</w:t>
      </w:r>
    </w:p>
    <w:p>
      <w:r>
        <w:t>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w:t>
      </w:r>
    </w:p>
    <w:p>
      <w:r>
        <w:t>Par ailleurs, en matière pénale,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arrêts 6B_126/2022 du 23 février 2022 consid. 2.2; 6B_721/2014 du 24 juillet 2014 consid. 2.1; 6B_112/2014 du 31 mars 2014 consid. 3.3; 6B_782/2008 du 12 mai 2009 consid. 1.4.1-1.4.3 publié in Pra 2009 n° 115 p. 787).</w:t>
      </w:r>
    </w:p>
    <w:p>
      <w:r>
        <w:rPr>
          <w:b/>
        </w:rPr>
        <w:t>E. 2.3</w:t>
      </w:r>
    </w:p>
    <w:p>
      <w:r>
        <w:t>Le recourant ne consacre aucun développement à la recevabilité, sous l'angle des art. 90 ss LTF , de son recours. On ne distingue par ailleurs pas en quoi consisterait le dommage juridique qui ne serait pas réparable dont aurait à souffrir le recourant et celui-ci ne l'expose pas, pas plus qu'il ne prétend que les conditions - exceptionnelles en matière pénale - de l' art. 93 al. 1 let. b LTF seraient réalisées. Les conditions de recevabilité ne ressortant pas à l'évidence de la décision attaquée ou du dossier et à défaut pour le recourant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LTF .</w:t>
      </w:r>
    </w:p>
    <w:p>
      <w:r>
        <w:rPr>
          <w:b/>
        </w:rPr>
        <w:t>E. 3</w:t>
      </w:r>
    </w:p>
    <w:p>
      <w:r>
        <w:t>Le recourant, qui succombe, supporte les frais judiciaires (art. 65 al. 2 et 66 al. 1 LTF) et n'a pas droit à des dépens ( art. 68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