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982/2023 vom 3. April 2024</w:t>
      </w:r>
    </w:p>
    <w:p>
      <w:r>
        <w:t>Bundesgericht, 2024-04-03, FR</w:t>
      </w:r>
    </w:p>
    <w:p>
      <w:r>
        <w:rPr>
          <w:b/>
        </w:rPr>
        <w:t xml:space="preserve">Quelle: </w:t>
      </w:r>
      <w:r>
        <w:t>https://mcp.opencaselaw.ch/entscheid/bger_6B_982_2023</w:t>
      </w:r>
    </w:p>
    <w:p>
      <w:r>
        <w:t>FR: TF 6B 982/2023 du 3 avril 2024</w:t>
      </w:r>
    </w:p>
    <w:p>
      <w:r>
        <w:t>IT: TF 6B 982/2023 del 3 aprile 2024</w:t>
      </w:r>
    </w:p>
    <w:p>
      <w:pPr>
        <w:pStyle w:val="Heading2"/>
      </w:pPr>
      <w:r>
        <w:t>Regeste</w:t>
      </w:r>
    </w:p>
    <w:p>
      <w:r>
        <w:t>Homicide par négligence; fixation de la peine; conclusions civiles; indemnité; arbitraire | Droit pénal (en général)</w:t>
      </w:r>
    </w:p>
    <w:p>
      <w:pPr>
        <w:pStyle w:val="Heading2"/>
      </w:pPr>
      <w:r>
        <w:t>Erwägungen</w:t>
      </w:r>
    </w:p>
    <w:p>
      <w:r>
        <w:rPr>
          <w:b/>
        </w:rPr>
        <w:t>E. 1</w:t>
      </w:r>
    </w:p>
    <w:p>
      <w:r>
        <w:t>Invoquant un établissement arbitraire des faits, le recourant conteste sa condamnation du chef d'accusation d'homicide par négligence ( art. 117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 Dans une large mesure, le recourant expose sa propre vision de l'ensemble du litige dans une démarche de nature appellatoire qui ne remplit à l'évidence pas les exigences de motivation, ni ne démontre que l'appréciation cantonale serait insoutenable. C'est notamment le cas lorsqu'il explique que la victime, qui aurait eu des tendances suicidaires, n'était pas visible et qu'elle s'était précipitée sur le véhicule. Les griefs de fait soulevés par le recourant seront donc traités ci-après pour autant qu'ils n'apparaissent pas d'emblée irrecevables pour les motifs qui précèdent.</w:t>
      </w:r>
    </w:p>
    <w:p>
      <w:r>
        <w:rPr>
          <w:b/>
        </w:rPr>
        <w:t>E. 1.2</w:t>
      </w:r>
    </w:p>
    <w:p>
      <w:r>
        <w:t>Aux termes de l' art. 117 CP , celui qui, par négligence, aura causé la mort d'une personne sera puni d'une peine privative de liberté de trois ans au plus ou d'une peine pécuniaire. 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p. 140). S'agissant d'un accident de la route, il convient de se référer aux règles de la circulation routière ( ATF 122 IV 133 consid. 2a; arrêt 6B_286/2022 du 15 juin 2013 consid. 4.1.1).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1.3.1</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138 consid. 2.1; 125 IV 83 consid. 2b et les références citées). 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115 IV 239 consid. 2).</w:t>
      </w:r>
    </w:p>
    <w:p>
      <w:r>
        <w:rPr>
          <w:b/>
        </w:rPr>
        <w:t>E. 1.3.2</w:t>
      </w:r>
    </w:p>
    <w:p>
      <w:r>
        <w:t>À teneur de l' art. 31 LCR , le conducteur devra rester constamment maître de son véhicule de façon à pouvoir se conformer aux devoirs de la prudence (al. 1). Cela signifie qu'il doit être à tout moment en mesure de réagir utilement aux circonstances. En présence d'un danger, et dans toutes les situations exigeant une décision rapide, il devra réagir avec sang 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(arrêt 6B_1006/2016 du 24 juillet 2017 consid. 2.1 et références citées). Toute réaction non appropriée n'est cependant pas excusable. Selon la jurisprudence,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 ATF 83 IV 84 ; arrêt 6B_1006/2016 du 24 juillet 2017 consid. 2.1 et références citées). Conformément à l' art. 31 al. 2 LCR ,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rPr>
          <w:b/>
        </w:rPr>
        <w:t>E. 1.3.3</w:t>
      </w:r>
    </w:p>
    <w:p>
      <w:r>
        <w:t>Aux termes de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cf. art. 4a OCR [ordonnance sur les règles de la circulation routière du 13 novembre 1962; RS 741.11]). D'une manière générale, le degré d'attention exigé du conducteur s'apprécie au regard de toutes les circonstances, telles que la densité du trafic, la configuration des lieux, l'heure, la visibilité et les sources de danger prévisibles ( ATF 129 IV 282 consid. 2.2.1).</w:t>
      </w:r>
    </w:p>
    <w:p>
      <w:r>
        <w:rPr>
          <w:b/>
        </w:rPr>
        <w:t>E. 1.4</w:t>
      </w:r>
    </w:p>
    <w:p>
      <w:r>
        <w:t>Le recourant conteste avoir fait preuve de négligence, soit d'avoir été inattentif et d'avoir violé l' art. 26 al. 2 LCR dans la mesure où, pour pouvoir anticiper un comportement incorrect d'un usager de la route, il fallait pouvoir le voir ou avoir le temps de le voir.</w:t>
      </w:r>
    </w:p>
    <w:p>
      <w:r>
        <w:rPr>
          <w:b/>
        </w:rPr>
        <w:t>E. 1.4.1</w:t>
      </w:r>
    </w:p>
    <w:p>
      <w:r>
        <w:t>La cour cantonale a jugé que le recourant avait vu la victime avant de la percuter. À l'appui de son raisonnement, elle indique que celle-ci avait été vue par les passagers du véhicule, qu'il ressort des images de vidéosurveillance, comme des photographies prises le soir des faits, que les lieux étaient parfaitement éclairés et que le recourant avait freiné avant le choc. Elle ajoute qu'il ressort de l'expertise que, si le recourant avait respecté la vitesse prescrite (50 km/h), il aurait été en mesure de freiner à temps et d'immobiliser son véhicule avant la collision. Elle a ainsi jugé que le recourant avait violé plusieurs règles de prudence en étant inattentif, en excès de vitesse et en état d'ébriété, ce qui a joué un rôle essentiel dans la survenance de l'accident.</w:t>
      </w:r>
    </w:p>
    <w:p>
      <w:r>
        <w:rPr>
          <w:b/>
        </w:rPr>
        <w:t>E. 1.4.2</w:t>
      </w:r>
    </w:p>
    <w:p>
      <w:r>
        <w:t>Par ses développements tendant à indiquer que la limitation de vitesse applicable sur le lieu du déroulement des faits ne fait aucun sens et que sa vitesse n'était donc pas inadaptée, que sa consommation d'alcool n'a eu aucune incidence sur la survenance de l'accident ou que la victime est brusquement apparue dans son champ de vision, le recourant se borne à opposer sa propre appréciation des faits et des preuves à celle opérée par la cour cantonale, cela d'une manière appellatoire et, partant, irrecevable dans le recours en matière pénale. C'est en vain qu'il invoque la pose d'un nouveau panneau de limitation de vitesse à 80 km/h, s'agissant d'un fait nouveau irrecevable ( art. 99 LTF ). Le recourant perd de vue que son excès de vitesse ( art. 32 et 90 al. 2 LCR ) et son état d'ébriété ( art. 31 al. 2 LCR ), qui ne sont pas contestés, sont des violations des règles de la prudence qui fondent une négligence. Si le recourant avait circulé en étant sobre et à la vitesse prescrite, il aurait pu éviter le choc et le décès de la victime (cf. jugement attaqué, p. 13). À cet égard, on relèvera que, plus de dix minutes avant l'accident, d'autres véhicules ont été en mesure de freiner à temps (cf. jugement attaqué. pp. 3-4). C'est à juste titre que la cour cantonale a retenu une négligence qui peut être qualifiée de fautive.</w:t>
      </w:r>
    </w:p>
    <w:p>
      <w:r>
        <w:rPr>
          <w:b/>
        </w:rPr>
        <w:t>E. 1.5</w:t>
      </w:r>
    </w:p>
    <w:p>
      <w:r>
        <w:t>Le recourant reproche à la cour cantonale de ne pas avoir pris en considération le comportement de la victime qui, violant les règles de la circulation routière ( art. 49 LCR ), a rompu tout lien de causalité adéquate entre la négligence reprochée et le décès. L'état d'ébriété, le manque d'attention et le comportement du recourant tendant à la violation des limitations de vitesse étaient illicites, c'est à raison, que la cour a estimé qu'il avait commis une négligence. C'est également à raison que la cour cantonale a jugé que la présence d'un piéton sur la route n'est pas une circonstance exceptionnelle ou extraordinaire de nature à interrompre le lien de causalité, ce d'autant plus qu'un trottoir bordait la route à l'endroit de l'accident, que la route dessert un quartier fortement peuplé et particulièrement bien éclairé qui constitue une zone d'activité à toute heure du jour ou de la nuit ( art. 26 al. 2 LCR ). L'argumentation du recourant tirée du comportement irrationnel de la victime, qui se serait soudainement élancée sur la chaussée devant son véhicule, est irrecevable faute de reposer sur des faits établis. Pour le surplus, cette argumentation est derechef irrecevable car de nature appellatoire. Le recourant présente à nouveau sa propre appréciation des faits sans démontrer que ceux retenus par la cour cantonale seraient arbitraires.</w:t>
      </w:r>
    </w:p>
    <w:p>
      <w:r>
        <w:rPr>
          <w:b/>
        </w:rPr>
        <w:t>E. 1.6</w:t>
      </w:r>
    </w:p>
    <w:p>
      <w:r>
        <w:t>Au vu de ce qui précède, la cour cantonale n'a pas violé le droit fédéral en estimant que c'était bien le comportement du recourant, en excès de vitesse, en état d'ébriété et inattentif, en violation de son devoir de prudence déduit des règles de la circulation routière, qui constituait la cause la plus probable et la plus immédiate de la collision avec la victime. Le recourant ne contestant pas, au surplus, que le décès de la victime est la conséquence de cette collision, sa condamnation pour homicide par négligence ( art. 117 CP ) doit être confirmée.</w:t>
      </w:r>
    </w:p>
    <w:p>
      <w:r>
        <w:rPr>
          <w:b/>
        </w:rPr>
        <w:t>E. 2</w:t>
      </w:r>
    </w:p>
    <w:p>
      <w:r>
        <w:t>Invoquant une violation du principe de la bonne foi, du droit d'être entendu et du droit à un traitement équitable (art. 3 al. 2 let. a et c CPP), le recourant se plaint d'une violation du droit à un procès équitable. Il fait grief à la cour cantonale, alors qu'il a déposé son mémoire d'appel écrit dans le délai fixé au 2 janvier 2023, de ne pas lui avoir accordé d'office une prolongation de délai similaire à celle de trente jours demandée, et accordée, aux parties plaignantes pour le dépôt de leur propre mémoire d'appel. Le recourant n'a pas demandé de prolongation de délai et n'explique pas en quoi il aurait été concrètement empêché d'exposer de manière complète ses développements et en quoi il aurait été défavorisé par rapport aux parties plaignantes, ce d'autant plus que, invité à déposer un mémoire de réponse par la cour cantonale le 2 février 2023, il a indiqué que celui-ci n'était pas nécessaire dans la mesure où son propre mémoire d'appel motivé se prononçait déjà sur les points soulevés par les parties plaignantes. Le grief doit dès lors être rejeté dans la faible mesure de sa recevabilité.</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