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981/2015 vom 12. Oktober 2015</w:t>
      </w:r>
    </w:p>
    <w:p>
      <w:r>
        <w:t>Bundesgericht, 2015-10-12, DE</w:t>
      </w:r>
    </w:p>
    <w:p>
      <w:r>
        <w:rPr>
          <w:b/>
        </w:rPr>
        <w:t xml:space="preserve">Quelle: </w:t>
      </w:r>
      <w:r>
        <w:t>https://mcp.opencaselaw.ch/entscheid/bger_6B_981_2015</w:t>
      </w:r>
    </w:p>
    <w:p>
      <w:r>
        <w:t>FR: TF 6B 981/2015 du 12 octobre 2015</w:t>
      </w:r>
    </w:p>
    <w:p>
      <w:r>
        <w:t>IT: TF 6B 981/2015 del 12 ottobre 2015</w:t>
      </w:r>
    </w:p>
    <w:p>
      <w:pPr>
        <w:pStyle w:val="Heading2"/>
      </w:pPr>
      <w:r>
        <w:t>Regeste</w:t>
      </w:r>
    </w:p>
    <w:p>
      <w:r>
        <w:t>Grobe Verletzung von Verkehrsregeln; Beweiswürdigung | Straftaten</w:t>
      </w:r>
    </w:p>
    <w:p>
      <w:pPr>
        <w:pStyle w:val="Heading2"/>
      </w:pPr>
      <w:r>
        <w:t>Erwägungen</w:t>
      </w:r>
    </w:p>
    <w:p>
      <w:r>
        <w:rPr>
          <w:b/>
        </w:rPr>
        <w:t>E. 1</w:t>
      </w:r>
    </w:p>
    <w:p>
      <w:r>
        <w:t>Das Kantonsgericht Luzern verurteilte den Beschwerdeführer am 28. April 2015 im Berufungsverfahren wegen grober Verletzung der Verkehrsregeln durch Überschreiten der allgemeinen Höchstgeschwindigkeit mit einem Motorrad ausserorts um netto 37 km/h zu einer unbedingten Geldstrafe von 30 Tagessätzen zu Fr. 100.--. Ein früher gewährter bedingter Vollzug einer Geldstrafe von zehn Tagesätzen zu Fr. 50.-- wurde widerrufen. Der Beschwerdeführer wendet sich ans Bundesgericht und beantragt, das Urteil vom 28. April 2015 sei aufzuheben, und er sei von Schuld und Strafe freizusprechen.</w:t>
      </w:r>
    </w:p>
    <w:p>
      <w:r>
        <w:rPr>
          <w:b/>
        </w:rPr>
        <w:t>E. 2</w:t>
      </w:r>
    </w:p>
    <w:p>
      <w:r>
        <w:t>Die tatsächlichen Feststellungen im angefochtenen Urteil können vor Bundesgericht gerügt werden, wenn sie offensichtlich unrichtig im Sinne von Art. 97 Abs. 1 BGG bzw. willkürlich im Sinne von Art. 9 BV sind. Willkür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Dass eine andere Lösung ebenfalls möglich erscheint, genügt nicht ( BGE 138 III 378 E. 6.1). Die angebliche Willkür ist in der Beschwerde präzise zu rügen, und die Rüge ist zu begründen ( Art. 106 Abs. 2 BGG ). Appellatorische Kritik, wie sie z.B. im Berufungsverfahren vor einer Instanz mit voller Kognition vorgebracht werden kann, ist vor Bundesgericht unzulässig. Der Beschwerdeführer macht geltend, er sei nicht der Lenker des Motorrades gewesen (Beschwerde Ziff. 1). Indessen ist der Beschwerde nicht zu entnehmen, aus welchem Grund die Vorinstanz, die zum gegenteiligen Schluss gelangte, in Willkür im oben umschriebenen Sinn verfallen sein könnte. In Bezug auf den angeblichen Hausfriedensbruch der Polizei stellt die Vorinstanz gestützt auf die Akten fest, die Messung habe auf einem nicht umfriedeten bzw. teilweise offenen (Vor-) Platz stattgefunden (Urteil S. 6 E. 3.2.3). Inwieweit die Polizei bei diesem Sachverhalt einen Hausfriedensbruch begangen haben könnte, vermag der Beschwerdeführer nicht zu sagen (vgl. Beschwerde Ziff. 2). In Bezug auf die nicht abgenommenen Beweise legt er nicht dar, um welche Beweise es ihm geht (vgl. Beschwerde Ziff. 3). Auf die Beschwerde ist mangels einer tauglichen Begründung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