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981/2013 vom 10. März 2014</w:t>
      </w:r>
    </w:p>
    <w:p>
      <w:r>
        <w:t>Bundesgericht, 2014-03-10, DE</w:t>
      </w:r>
    </w:p>
    <w:p>
      <w:r>
        <w:rPr>
          <w:b/>
        </w:rPr>
        <w:t xml:space="preserve">Quelle: </w:t>
      </w:r>
      <w:r>
        <w:t>https://mcp.opencaselaw.ch/entscheid/bger_6B_981_2013</w:t>
      </w:r>
    </w:p>
    <w:p>
      <w:r>
        <w:t>FR: TF 6B 981/2013 du 10 mars 2014</w:t>
      </w:r>
    </w:p>
    <w:p>
      <w:r>
        <w:t>IT: TF 6B 981/2013 del 10 marzo 2014</w:t>
      </w:r>
    </w:p>
    <w:p>
      <w:pPr>
        <w:pStyle w:val="Heading2"/>
      </w:pPr>
      <w:r>
        <w:t>Regeste</w:t>
      </w:r>
    </w:p>
    <w:p>
      <w:r>
        <w:t>Nichtanhandnahme (Gläubigerbevorzugung) | Strafprozess</w:t>
      </w:r>
    </w:p>
    <w:p>
      <w:pPr>
        <w:pStyle w:val="Heading2"/>
      </w:pPr>
      <w:r>
        <w:t>Erwägungen</w:t>
      </w:r>
    </w:p>
    <w:p>
      <w:r>
        <w:rPr>
          <w:b/>
        </w:rPr>
        <w:t>E. 1</w:t>
      </w:r>
    </w:p>
    <w:p>
      <w:r>
        <w:t>Die Privatklägerschaft ist nach Art. 81 Abs. 1 lit. a und b Ziff. 5 BGG zur Beschwerde in Strafsachen berechtigt, wenn sie vor der Vorinstanz am Verfahren teilgenommen oder keine Möglichkeit zur Teilnahme erhalten hat und wenn sich der angefochtene Entscheid auf die Beurteilung ihrer Zivilansprüche auswirken kann. Dabei wird grundsätzlich verlangt, dass sie bereits adhäsionsweise Zivilforderungen geltend gemacht hat. Ausnahmsweise, bei Nichtanhandnahme oder Einstellung des Strafverfahrens, ist auf diese Voraussetzung zu verzichten. Erforderlich ist jedoch, dass im Verfahren vor Bundesgericht dargelegt wird, auf welche Zivilansprüche sich der angefochtene Entscheid auswirken kann ( BGE 137 IV 246 E. 1.3.1). Die Beschwerde genügt diesen Anforderungen, weshalb darauf einzutreten ist.</w:t>
      </w:r>
    </w:p>
    <w:p>
      <w:r>
        <w:rPr>
          <w:b/>
        </w:rPr>
        <w:t>E. 2</w:t>
      </w:r>
    </w:p>
    <w:p>
      <w:r>
        <w:t>Der Beschwerdeführer macht eine Verletzung von Art. 30 Abs. 1 BV und Art. 6 Ziff. 1 EMRK geltend. Die vorinstanzlichen Richter hätten beim Entscheid in Sachen R.________ mitgewirkt. Deswegen seien sie bei der Beurteilung der Beschwerdegegnerin 2 voreingenommen gewesen. Im angefochtenen Urteil werde nämlich auf Feststellungen und rechtliche Erwägungen des Urteils in Sachen R.________ verwiesen (Beschwerde S. 6, 9 f.). Dass dieselben Richter in Sachen R.________ amteten, belegt noch keine Voreingenommenheit. Wären nämlich die beiden Verfahren gleichzeitig hängig gewesen, wären sie vereinigt und in gleicher Zusammensetzung beurteilt worden. Es liegen keine Umstände vor, die bei objektiver Betrachtung geeignet sind, Misstrauen in die Unparteilichkeit der vorinstanzlichen Richter zu erwecken ( BGE 136 I 207 E. 3.1 mit Hinweisen).</w:t>
      </w:r>
    </w:p>
    <w:p>
      <w:r>
        <w:rPr>
          <w:b/>
        </w:rPr>
        <w:t>E. 3</w:t>
      </w:r>
    </w:p>
    <w:p>
      <w:r>
        <w:t>Die Staatsanwaltschaft verfügt die Nichtanhandnahme, wenn aufgrund der Strafanzeige feststeht, dass die fraglichen Straftatbestände eindeutig nicht erfüllt sind ( Art. 310 Abs. 1 lit. a StPO ). Dies ist etwa der Fall bei rein zivilrechtlichen Streitigkeiten. Eine Nichtanhandnahme darf nur in sachverhaltsmässig und rechtlich klaren Fällen ergehen. Es muss sicher feststehen, dass der Sachverhalt unter keinen Straftatbestand fällt. Im Zweifelsfall - wenn die Sach- und/oder die Rechtslage nicht von vornherein klar sind - ist eine Untersuchung zu eröffnen ( BGE 137 IV 285 E. 2.3 mit Hinweisen).</w:t>
      </w:r>
    </w:p>
    <w:p>
      <w:r>
        <w:rPr>
          <w:b/>
        </w:rPr>
        <w:t>E. 3.1</w:t>
      </w:r>
    </w:p>
    <w:p>
      <w:r>
        <w:t>Die Vorinstanz erwägt, die Beschwerdegegnerin 2 habe ihr Einverständnis zur Vereinbarung gegeben und mit ihrer Unterschrift lediglich die Mietzinsforderung anerkannt. Damit habe sich die Beschwerdegegnerin 2 in keiner Form der Bevorzugung eines Gläubigers gemäss Art. 167 StGB strafbar gemacht (Beschluss S. 7 f.). Der Beschwerdeführer hält dagegen, die Beschwerdegegnerin 2 habe mit ihrer Unterschrift einen wesentlichen Beitrag zur Gläubigerbevorzugung geleistet.</w:t>
      </w:r>
    </w:p>
    <w:p>
      <w:r>
        <w:rPr>
          <w:b/>
        </w:rPr>
        <w:t>E. 3.2.1</w:t>
      </w:r>
    </w:p>
    <w:p>
      <w:r>
        <w:t>Gemäss den verbindlichen Feststellungen der Vorinstanz war es R.________ gewesen, der die Vereinbarung initiiert, den Wert der vier Fahrzeuge bestimmt und die Eigentumsübertragung vorgenommen hat (Beschluss S. 7). Gestützt darauf durfte die Vorinstanz die Beschwerdegegnerin 2 als Mittäterin ausschliessen (vgl. BGE 135 IV 152 E. 2.3.1).</w:t>
      </w:r>
    </w:p>
    <w:p>
      <w:r>
        <w:rPr>
          <w:b/>
        </w:rPr>
        <w:t>E. 3.2.2</w:t>
      </w:r>
    </w:p>
    <w:p>
      <w:r>
        <w:t>Gehilfe ist, wer zu einem Verbrechen oder Vergehen vorsätzlich Hilfe leistet ( Art. 25 StGB ). Der Gehilfe fördert eine Tat, wenn er sie durch einen untergeordneten Tatbeitrag unterstützt ( BGE 129 IV 124 E. 3.2). Als Hilfeleistung im Sinne von Art. 25 StGB gilt jeder kausale Beitrag, der die Tat fördert, so dass sich diese ohne Mitwirkung des Gehilfen anders abgespielt hätte ( BGE 132 IV 49 E. 1.1; 129 IV 124 E. 3.2; je mit Hinweisen). Die Beschwerdegegnerin 2 hat mit ihrer Unterschrift das Insichgeschäft von R.________ genehmigt. Insichgeschäfte sind ungültig, es sei denn, der Vertretene habe unter anderem das Geschäft nachträglich genehmigt. Nichts anderes gilt für die gesetzliche Vertretung juristischer Personen durch deren Organe ( BGE 126 III 361 E. 3a). Indem die Beschwerdegegnerin 2 die Vereinbarung unterzeichnete, wurde diese rechtsgültig und die R.________ Holding AG Eigentümerin der vier Fahrzeuge. Dadurch ist die R.________ Holding AG zum Nachteil anderer Gläubiger bevorzugt worden, was ohne den Tatbeitrag der Beschwerdegegnerin 2 nicht geschehen wäre. Die bisherigen vorinstanzlichen Feststellungen ergeben keinen Hinweis, dass andere Tatbestandsmerkmale fehlen würden.</w:t>
      </w:r>
    </w:p>
    <w:p>
      <w:r>
        <w:rPr>
          <w:b/>
        </w:rPr>
        <w:t>E. 4</w:t>
      </w:r>
    </w:p>
    <w:p>
      <w:r>
        <w:t>Die Beschwerde ist gutzuheissen. Die Sache ist an die Vorinstanz zur Neuregelung der Kosten- und Entschädigungsfolgen und an die Staatsanwaltschaft zur Eröffnung einer Untersuchung zurückzuweisen. Bei diesem Ausgang des Verfahrens haben der Kanton Basel-Landschaft und die Beschwerdegegnerin 2 den Beschwerdeführer für das bundesgerichtliche Verfahren zu entschädigen. Die Gerichtskosten werden der unterliegenden Partei auferlegt ( Art.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