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6B_980/2017 vom 20. Dezember 2018</w:t>
      </w:r>
    </w:p>
    <w:p>
      <w:r>
        <w:t>Bundesgericht, 2018-12-20, DE</w:t>
      </w:r>
    </w:p>
    <w:p>
      <w:r>
        <w:rPr>
          <w:b/>
        </w:rPr>
        <w:t xml:space="preserve">Quelle: </w:t>
      </w:r>
      <w:r>
        <w:t>https://mcp.opencaselaw.ch/entscheid/bger_6B_980_2017</w:t>
      </w:r>
    </w:p>
    <w:p>
      <w:r>
        <w:t>FR: TF 6B_980/2017 du 20 décembre 2018</w:t>
      </w:r>
    </w:p>
    <w:p>
      <w:r>
        <w:t>IT: TF 6B_980/2017 del 20 dicembre 2018</w:t>
      </w:r>
    </w:p>
    <w:p>
      <w:pPr>
        <w:pStyle w:val="Heading2"/>
      </w:pPr>
      <w:r>
        <w:t>Erwägungen</w:t>
      </w:r>
    </w:p>
    <w:p>
      <w:r>
        <w:rPr>
          <w:b/>
        </w:rPr>
        <w:t>E. 1.1</w:t>
      </w:r>
    </w:p>
    <w:p>
      <w:r>
        <w:t>Der Beschwerdeführer wendet sich ausschliesslich gegen die Strafzumessung. Er rügt zusammengefasst, die Vorinstanz gewichte einzelne Strafzumessungsfaktoren in Verletzung ihres Ermessens unangemessen stark straferhöhend respektive nicht hinreichend zu seinen Gunsten und berücksichtige zudem wesentliche Strafzumessungskriterien nicht sowie ihm nicht vorwerfbare Umstände straferhöhend. Die Vorinstanz verstosse gegen das Doppelverwertungsverbot und verkenne die Bindungswirkung des (zweiten) bundesgerichtlichen Rückweisungsurteils.</w:t>
      </w:r>
    </w:p>
    <w:p>
      <w:r>
        <w:rPr>
          <w:b/>
        </w:rPr>
        <w:t>E. 1.2</w:t>
      </w:r>
    </w:p>
    <w:p>
      <w:r>
        <w:t>Die Vorinstanz erwägt, die mehrfache Tatbegehung sei strafschärfend zu berücksichtigen. Die Tatschwere bestimme sich bei Drogendelikten neben der Menge und dem Reinheitsgrad der Betäubungsmittel und der daraus resultierenden Rechtsgutsgefährdung, denen bei der Strafzumessung zwar eine wichtige, aber keine vorrangige Bedeutung zukomme, namentlich auch nach der Art und Weise der Tatbegehung, der Willensrichtung und den Beweggründen des Tatrichters. Das schwerste Delikt stelle die Einfuhr von 5 kg Kokaingemisch dar. Der Beschwerdeführer sei auf Kosten des Auftraggebers in den Kosovo geflogen, habe an der mazedonischen Grenze den Personenwagen mit dem verbauten Kokaingemisch übernommen und sei anschliessend auf einer vorgegebenen Route über Italien, Österreich und Deutschland in die Schweiz eingereist. Für den Transport seien ihm Schulden in Höhe von Fr. 5'000.- erlassen worden. Bei der objektiven Tatschwere sei zu berücksichtigen, dass die vom Beschwerdeführer transportierte und eingeführte Menge die Schwelle zum schweren Fall um ein Vielfaches übersteige und eine grosse Gefahr für die Gesundheit einer Vielzahl von Menschen darstelle. Der Beschuldigte sei blosser Chauffeur und damit im Rahmen des organisierten Drogenhandels reiner Befehlsempfänger auf einer untergeordneten Stufe. Als Kurier habe er keinen Einfluss auf die zu transportierende Drogenmenge gehabt, jedoch gewusst, dass er 5 kg Kokaingemisch transportiert. Zudem habe er beim Ausbau der Drogen mitgeholfen und anschliessend 3 kg Kokaingemisch zur kurzfristigen Lagerung übernommen, was klar über die übliche Kuriertätigkeit hinausgehe. Dass die gesamte Drogenmenge vor dem Weiterverkauf sichergestellt worden sei, wirke sich entgegen der Meinung des Beschwerdeführers nicht zu dessen Gunsten aus. Das objektive Tatverschulden sei als keineswegs mehr leicht einzustufen.</w:t>
      </w:r>
    </w:p>
    <w:p>
      <w:r>
        <w:t>Hinsichtlich der subjektiven Tatschwere sei vorab festzuhalten, dass der Beschwerdeführer direktvorsätzlich, wenn auch mit Eventualvorsatz hinsichtlich des Reinheitsgehalts gehandelt habe. Die Tat sei aus rein finanziellem Interesse erfolgt. Eine wirtschaftliche oder anderweitige Notlage habe nicht vorgelegen. Eine bedeutsame Einschränkung der Entscheidungsfreiheit des Beschwerdeführers durch massiven Druck des Drahtziehers oder aufgrund einer kulturell bedingten Abhängigkeit habe nicht vorgelegen. Die subjektive Tatschwere mindere das objektive Tatverschulden nicht spürbar, weshalb eine Einsatzstrafe von 54 Monaten angemessen sei. Hinsichtlich der weiteren Kurierfahrten innerhalb der Schweiz liege angesichts des weiten Strafrahmens objektiv ein leichtes Tatverschulden vor. Auch das subjektive Verschulden sei insoweit als leicht einzustufen.</w:t>
      </w:r>
    </w:p>
    <w:p>
      <w:r>
        <w:t>Der Beschwerdeführer habe in einem frühen Verfahrensstadium ein umfassendes Geständnis abgelegt und aus eigenem Antrieb kooperiert, weshalb weitere Delikte hätten aufgeklärt und Mittäter verurteilt werden können. Er habe sich vom Drogenmilieu vollständig losgesagt, was seine Einsicht und Reue dokumentiere. Besondere Umstände, die eine erhöhte Strafempfindlichkeit begründeten, seien nicht ersichtlich. Hingegen sei die lange Verfahrensdauer, die der Beschwerdeführer nicht zu verantworten habe, leicht strafmindernd zu berücksichtigen.</w:t>
      </w:r>
    </w:p>
    <w:p>
      <w:r>
        <w:rPr>
          <w:b/>
        </w:rPr>
        <w:t>E. 2.1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w:t>
      </w:r>
    </w:p>
    <w:p>
      <w:r>
        <w:t>Das Bundesgericht hat die Grundsätze der Strafzumessung nach Art. 47 ff. StGB wiederholt dargelegt. Entsprechendes gilt für die Bildung der Einsatz- und der Gesamtstrafe nach Art. 49 Abs. 1 StGB ( BGE 144 IV 217 E. 2 f.; 141 IV 61 E. 6.1.2; je mit Hinweisen). Es liegt im Ermessen des Sachgerichts, in welchem Umfang es die verschiedenen Strafzumessungsfaktoren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w:t>
      </w:r>
    </w:p>
    <w:p>
      <w:r>
        <w:rPr>
          <w:b/>
        </w:rPr>
        <w:t>E. 2.2</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Dabei kann sich die neue Entscheidung in den Grenzen des Verbots der reformatio in peius auch auf Punkte beziehen, die vor Bundesgericht nicht angefochten waren, sofern dies der Sachzusammenhang erfordert ( BGE 123 IV 1 E. 1; 117 IV 97 E. 4; Urteil 6B_35/2012 vom 30. März 2012 E. 2.2).</w:t>
      </w:r>
    </w:p>
    <w:p>
      <w:r>
        <w:rPr>
          <w:b/>
        </w:rPr>
        <w:t>E. 3.1</w:t>
      </w:r>
    </w:p>
    <w:p>
      <w:r>
        <w:t>Als unzutreffend erweist sich, die Vorinstanz verkenne die Bindungswirkung des letzten Rückweisungsurteils, da sie im angefochtenen Entscheid in Widerspruch zum zweiten Berufungsurteil das subjektive Verschulden des Beschwerdeführers nur noch neutral und nicht mehr leicht strafmindernd berücksichtigt habe und dies, obwohl sie hinsichtlich des Reinheitsgehalts des eingeführten Kokaingemisches nicht mehr direkten, sondern nur noch Eventualvorsatz bejahe. Das Bundesgericht hat die ersten beiden Berufungsurteile jeweils aufgehoben, da aus den Urteilserwägungen nicht ersichtlich war, welche Sachverhaltsfeststellungen die Vorinstanz der Strafzumessung zugrunde legt. Eine rechtliche Überprüfung der Strafzumessung erfolgte nicht, weshalb die Rückweisungsurteile insoweit keine Bindungswirkung entfalten konnten. Dies eröffnet der Vorinstanz jedoch nicht die Möglichkeit die Strafzumessung nachträglich neu zu begründen und - wenn auch nur punktuell -zuungunsten des Beschwerdeführers abzuändern, insbesondere wenn sich nachträglich keine Veränderungen hinsichtlich der relevanten Strafzumessungsfaktoren ergeben haben. Dies ist vorliegend jedoch nicht der Fall, denn die Vorinstanz berücksichtigt das subjektive Tatverschulden (auch) im angefochtenen zweiten Berufungsurteil ausdrücklich strafmindernd. Dass die Vorinstanz dies nur in geringem Umfang im Hinblick auf die objektive Tatschwere gewichtet, ist vom tatrichterlichen Ermessen gedeckt und nicht zu beanstanden. Ob die Vorinstanz die Verneinung direktvorsätzlichen Handelns stärker strafmindernd hätte berücksichtigen können, hat das Bundesgericht nicht zu beurteilen.</w:t>
      </w:r>
    </w:p>
    <w:p>
      <w:r>
        <w:rPr>
          <w:b/>
        </w:rPr>
        <w:t>E. 3.2</w:t>
      </w:r>
    </w:p>
    <w:p>
      <w:r>
        <w:t>Die Rüge, die Vorinstanz nehme eine offensichtlich falsche und bundesrechtswidrige Gewichtung einzelner objektiver Strafzumessungskriterien vor, ist ungeeignet, eine Bundesrechtsverletzung darzulegen, soweit sie überhaupt den Begründungsanforderungen gemäss Art. 42 Abs. 2 BGG genügen. Nicht einzugehen ist auf die Beanstandungen, denen der Beschwerdeführer einen von den verbindlichen Feststellungen der Vorinstanz abweichenden, von ihm jedoch nicht angefochtenen Sachverhalt zugrunde legt. Dass der Beschwerdeführer die von der Vorinstanz berücksichtigten einzelnen Strafzumessungsfaktoren anders respektive weniger stark straferhöhend (oder gar neutral) gewichtet, belegt keinen Ermessensfehlgebrauch. Er verkennt insoweit, dass das Bundesgericht keine eigene Strafzumessung vorzunehmen und die vorinstanzliche Strafe nicht durch die seines Erachtens als angemessen erachtete zu ersetzen hat. Die Strafzumessung obliegt den Sachgerichten und ist vom Bundesgericht nur auf Rechtsfehler zu überprüfen.</w:t>
      </w:r>
    </w:p>
    <w:p>
      <w:r>
        <w:t>Als unzutreffend erweist sich die Rüge, die Vorinstanz messe der eingeführten Drogenmenge zu starkes Gewicht zu. Die Vorinstanz hält in Übereinstimmung mit der bundesgerichtlichen Rechtsprechung explizit fest, dass der Drogenmenge zwar keine vorrangige Bedeutung zukomme, diese jedoch nicht unberücksichtigt gelassen werden könne. Dass die Vorinstanz bei der Festsetzung der Einsatzstrafe von 54 Monaten ausschliesslich oder in erster Linie auf die Drogenmenge von 3.95 kg Kokain abgestellt hat, ist nicht ersichtlich. Sie berücksichtigt neben der Menge und dem Reinheitsgehalt der Droge, die zwar an Bedeutung verlieren, wenn mehrere Qualifikationsgründe nach Art. 19 Abs. 2 BetmG gegeben sind und je deutlicher der Grenzwert im Sinne von Art. 19 Abs. 2 lit. a BetmG überschritten ist (vgl. B GE 122 IV 299 E. 2b und c; 121 IV 193 E. 2b/aa; Urteil 6B_720/2018 vom 3. Oktober 2018 E. 1.3; je mit Hinweisen), auch den konkreten Tatbeitrag des Beschwerdeführers als Kurier sowie die Gefährlichkeit des eingeführten Betäubungsmittels.</w:t>
      </w:r>
    </w:p>
    <w:p>
      <w:r>
        <w:t>Auch bei der Berücksichtigung der Dauer des Strafverfahrens, dem der Beschwerdeführer seit seiner Verhaftung am 7. März 2011 ausgesetzt ist, steht der Vorinstanz ein weiter Ermessensspielraum zu. Zwar ist dem Beschwerdeführer zuzustimmen, dass die Verfahrensdauer angesichts seines frühen Geständnisses sehr lang ist, jedoch legt er nicht dar und ist auch nicht ersichtlich, in welchen Verfahrensabschnitten eine Verletzung des Beschleunigungsgebots vorliegen solle und dass die Vorinstanz der langen Verfahrensdauer in Überschreitung ihres Ermessens nicht hinreichend Rechnung getragen hätte.</w:t>
      </w:r>
    </w:p>
    <w:p>
      <w:r>
        <w:rPr>
          <w:b/>
        </w:rPr>
        <w:t>E. 3.3</w:t>
      </w:r>
    </w:p>
    <w:p>
      <w:r>
        <w:t>Nicht gefolgt werden kann dem Beschwerdeführer, die Vorinstanz habe sein Abhängigkeitsverhältnis vom Drahtzieher der Drogengeschäfte nicht strafmindernd berücksichtigt, da sie in Verletzung von Bundesrecht eine Intensität vorausgesetzt habe, wie sie beim gesetzlichen Strafmilderungs- oder Strafausschliessungsgrund i.S.v. Art. 48 lit. a StGB erforderlich sei. Dass die Vorinstanz erwägt, die Bereitschaft des Beschwerdeführers, dem Drahtzieher praktisch jederzeit bei dessen Drogengeschäften zu helfen, können nicht mit einer sozial bedingten Hörigkeit oder mit massivem Druck "entschuldigt" werden, ist (isoliert) betrachtet durchaus missverständlich. Aus den übrigen Urteilserwägungen ergibt sich jedoch, dass die Vorinstanz das Verhältnis zwischen dem Beschwerdeführer und dem Drahtzieher der Drogengeschäfte nicht unter den Voraussetzungen von Art. 48 lit. a StGB , sondern als möglichen Strafminderungsfaktor einstuft, mithin "entschuldigt" nicht im "technischen" Sinne verwendet. Sie legt nachvollziehbar dar, dass der Beschwerdeführer in seiner Entscheidungsfreiheit auch unter Berücksichtigung der von ihm geltend gemachten kulturellen Gesichtspunkte gegenüber dem Drahtzieher nicht eingeschränkt war, denn dies würde auch im Heimatland des Beschwerdeführers keinen Grund zur Begehung von Straftaten darstellen.</w:t>
      </w:r>
    </w:p>
    <w:p>
      <w:r>
        <w:rPr>
          <w:b/>
        </w:rPr>
        <w:t>E. 3.4</w:t>
      </w:r>
    </w:p>
    <w:p>
      <w:r>
        <w:t>Der Beschwerdeführer rügt zutreffend, die Vorinstanz habe seine Kenntnis über die zu transportierende Drogenmenge sowohl bei der objektiven als auch bei der subjektiven Tatschwere erwähnt. Dies erweist sich jedoch vorliegend als eine redaktionelle Ungenauigkeit. Entgegen der Ansicht des Beschwerdeführers berücksichtigt die Vorinstanz das direkt vorsätzliche Handeln nicht mehrfach.</w:t>
      </w:r>
    </w:p>
    <w:p>
      <w:r>
        <w:t>Dass die Vorinstanz das Vorgehen des Beschwerdeführers als professionell einstuft, bedeutet vorliegend nicht, dass sie ihm die Tatplanung durch den Drahtzieher zurechnet. In den für das Bundesgericht verbindlichen Feststellungen hält sie explizit fest, dass der Beschwerdeführer als Chauffeur und reiner Befehlsempfänger nicht in die Planung des Transports involviert war und lediglich der ihm per GPS vorgegebenen Route gefolgt ist. Damit findet die Tatplanung mit den im Ausland begangenen Passieren mehrerer Landesgrenzen keine Berücksichtigung in der Strafe.</w:t>
      </w:r>
    </w:p>
    <w:p>
      <w:r>
        <w:rPr>
          <w:b/>
        </w:rPr>
        <w:t>E. 4</w:t>
      </w:r>
    </w:p>
    <w:p>
      <w:r>
        <w:t>Die Gerichtskosten sind dem unterliegenden Beschwerdeführer aufzuerlegen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