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6B_980/2016 vom 20. Februar 2018</w:t>
      </w:r>
    </w:p>
    <w:p>
      <w:r>
        <w:t>Bundesgericht, 2018-02-20, FR</w:t>
      </w:r>
    </w:p>
    <w:p>
      <w:r>
        <w:rPr>
          <w:b/>
        </w:rPr>
        <w:t xml:space="preserve">Quelle: </w:t>
      </w:r>
      <w:r>
        <w:t>https://mcp.opencaselaw.ch/entscheid/bger_6B_980_2016</w:t>
      </w:r>
    </w:p>
    <w:p>
      <w:r>
        <w:t>FR: TF 6B_980/2016 du 20 février 2018</w:t>
      </w:r>
    </w:p>
    <w:p>
      <w:r>
        <w:t>IT: TF 6B_980/2016 del 20 febbraio 2018</w:t>
      </w:r>
    </w:p>
    <w:p>
      <w:pPr>
        <w:pStyle w:val="Heading2"/>
      </w:pPr>
      <w:r>
        <w:t>Erwägungen</w:t>
      </w:r>
    </w:p>
    <w:p>
      <w:r>
        <w:rPr>
          <w:b/>
        </w:rPr>
        <w:t>E. 1</w:t>
      </w:r>
    </w:p>
    <w:p>
      <w:r>
        <w:t>La décision attaquée - qui est une décision finale au sens de l' art. 90 LTF - a été rendue par une autorité statuant en tant que dernière instance cantonale ( art. 80 al. 1 LTF ) dans le cadre d'une procédure pénale, le recours en matière pénale au sens de l' art. 78 LTF étant ainsi ouvert. Le recourant, prévenu dont la condamnation pénale est confirmée, a un intérêt juridique à la modification ou l'annulation de l'arrêt entrepris (art. 81 al. 1 let. a et b ch. 1 LTF). Le recours a de plus été déposé en temps utile (art. 46 al. 1 let. b et 100 al. 1 LTF) et les conclusions qui y sont prises sont recevables ( art. 107 al. 2 LTF ). Partant, il y a lieu d'entrer en matière.</w:t>
      </w:r>
    </w:p>
    <w:p>
      <w:r>
        <w:rPr>
          <w:b/>
        </w:rPr>
        <w:t>E. 2</w:t>
      </w:r>
    </w:p>
    <w:p>
      <w:r>
        <w:t>Invoquant des violations de l'interdiction de l'arbitraire et du principe de présomption d'innocence, le recourant reproche à l'autorité précédente de n'avoir pas retenu que la cycliste intimée avait passé le carrefour alors que le feu pour les cycles était rouge; dès lors que tel aurait été le cas, le lien de causalité entre le comportement du recourant et l'accident serait rompu puisque le comportement gravement fautif de la cycliste serait la cause la plus probable de l'accident.</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6B_51/2017 du 10 novembre 2017 consid. 2.1 et les arrêts cités).</w:t>
      </w:r>
    </w:p>
    <w:p>
      <w:r>
        <w:t>La présomption d'innocence, garantie par les art. 10 CPP , 32 al. 1 Cst. et 6 par. 2 CEDH, ainsi que son corollaire, le principe "in dubio pro reo", concernent tant le fardeau de la preuve que l'appréciation des preuves. En tant que règle sur le fardeau de la preuve, elle signifie, au stade du jugement, que le fardeau de la preuve incombe à l'accusation et que le doute doit profiter au prévenu. Comme règle sur l'appréciation des preuves, elle est violée lorsque le juge, qui s'est déclaré convaincu, aurait dû éprouver des doutes quant à la culpabilité du prévenu au vu des éléments de preuve qui lui étaient soumis ( ATF 127 I 38 consid. 2a p. 40 s. et les références citées). Dans cette mesure, elle se confond avec l'interdiction générale de l'arbitraire, prohibant une appréciation reposant sur des preuves inadéquates ou sans pertinence ( ATF 138 V 74 consid. 7 p. 82; arrêts 6B_458/2017 du 8 février 2018 consid. 1.2; 6B_51/2017 du 10 novembre 2017 consid. 2.1).</w:t>
      </w:r>
    </w:p>
    <w:p>
      <w:r>
        <w:rPr>
          <w:b/>
        </w:rPr>
        <w:t>E. 2.2</w:t>
      </w:r>
    </w:p>
    <w:p>
      <w:r>
        <w:t>L' art. 125 CP réprime le comportement de celui qui, par négligence, aura fait subir à une personne une atteinte à l'intégrité corporelle ou à la santé. Aux termes de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143 IV 138 consid. 2.1 p. 140; 135 IV 56 consid. 2.1 p. 64). En second lieu, la violation du devoir de prudence doit être fautive, c'est-à-dire qu'il faut pouvoir reprocher à l'auteur une inattention ou un manque d'effort blâmable ( ATF 135 IV 56 consid. 2.1 p. 64; 134 IV 255 consid. 4.2.3 p. 262 et les références citées).</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 ATF 138 IV 57 consid. 4.1.3 p. 61).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w:t>
      </w:r>
    </w:p>
    <w:p>
      <w:r>
        <w:rPr>
          <w:b/>
        </w:rPr>
        <w:t>E. 2.3</w:t>
      </w:r>
    </w:p>
    <w:p>
      <w:r>
        <w:t>Retenant que le feu pour les piétons était au vert, la juridiction cantonale a relevé que même si la cycliste avait circulé sur le passage protégé au guidon de son vélo - ce qui constituerait une infraction -, le recourant n'en était pas pour autant dispensé d'adapter sa vitesse au moment de le franchir afin de céder la priorité à ses usagers, ayant été de plus exhorté par deux feux jaunes "attention piétons/cyclistes" à le faire; l'éventuel comportement de la cycliste n'était ainsi pas d'une importance telle à reléguer celui du prévenu au second plan (cf. consid. 2.3.4.4 de l'arrêt attaqué).</w:t>
      </w:r>
    </w:p>
    <w:p>
      <w:r>
        <w:rPr>
          <w:b/>
        </w:rPr>
        <w:t>E. 2.4</w:t>
      </w:r>
    </w:p>
    <w:p>
      <w:r>
        <w:t>Ce raisonnement aurait pu être suivi s'il avait été établi que le feu de circulation de la piste cyclable était vert au moment du passage de la cycliste. Tel n'est cependant pas le cas (cf. consid. 2.3.2 de l'arrêt entrepris). Or, si la signalisation concernant la piste cyclable était au rouge, le passage du carrefour par un vélo ne devait en principe plus entrer en considération pour les autres usagers de la route, qui peuvent attendre des autres conducteurs le respect des feux de signalisation. Le franchissement de cette intersection par un cycle paraît d'autant moins prévisible en l'espèce qu'il est hautement vraisemblable que la cycliste ne roulait plus sur la bande cyclable et envisageait de traverser le carrefour en empruntant le passage pour piétons (cf. consid. 2.3.4.4 de l'arrêt attaqué), hypothèse que l'intimée ne semble au demeurant de loin pas exclure (cf. notamment ad c p. 4, ad 12 p. 6 et ad 19 p. 8 de ses observations du 22 janvier 2018). La vitesse de circulation du vélo n'a pas non plus été établie (cf. consid. 2.3.2 de l'arrêt entrepris). Or, durant un même laps de temps, un piéton ne parcourt pas la même distance qu'un cycle; l'adaptation nécessaire - notamment sous l'angle d'une modification de la vitesse - n'est ainsi plus la même au moment où seul reste à franchir le passage pour les piétons - situation qui semble avoir été le cas au moment de l'accident - que celle qui prévalait préalablement.</w:t>
      </w:r>
    </w:p>
    <w:p>
      <w:r>
        <w:t>A ces circonstances imprévisibles - dont le caractère de la trajectoire suivie par la cycliste - s'ajoute le fait qu'aucun autre reproche qu'une vitesse de 12 km/h n'a été retenu à l'encontre du recourant par rapport à la réalisation de sa manoeuvre (clignotant droit enclenché, utilisation consciencieuse de ses rétroviseurs et de sa fenêtre [cf. consid. 2.3.3 de l'arrêt entrepris]); en particulier, il ne lui est pas fait grief de n'avoir pas pris en considération les difficultés liées à l'angle mort (cf. ad 4.5 du rapport d'expertise judiciaire p. 14 s.). La cour cantonale a d'ailleurs expressément relevé que les précautions prises par le recourant ne visaient pas que le passage pour piétons, mais également toute personne pouvant surgir sur sa droite (cf. consid. 2.3.3 de l'arrêt entrepris).</w:t>
      </w:r>
    </w:p>
    <w:p>
      <w:r>
        <w:t>On peut également douter de la nécessité d'adapter une vitesse de 12 km/h - respectivement au demeurant de la possibilité de conduire à 6 km/h pour un camion avec remorque - dès lors que le feu de signalisation de la piste de circulation du recourant était au vert (cf. consid. 2.3.2 de l'arrêt entrepris), que ce dernier vouait toute son attention à sa manoeuvre (cf. consid. 2.3.3 de l'arrêt attaqué) et qu'il avait pris en compte la priorité à accorder aux éventuels usagers susceptibles d'arriver sur sa droite - ayant vu le premier panneau d'avertissement lumineux -, soit en particulier une fois la piste cyclable dépassée, les piétons pouvant traverser le passage protégé.</w:t>
      </w:r>
    </w:p>
    <w:p>
      <w:r>
        <w:t>Au regard de ces considérations, il ne peut être établi que le comportement du recourant serait constitutif d'une inattention fautive en lien direct avec la survenance du tragique accident du 25 juin 2013. En considérant que tel était le cas malgré les incertitudes relevées ci-dessus, la cour cantonale viole le droit fédéral.</w:t>
      </w:r>
    </w:p>
    <w:p>
      <w:r>
        <w:rPr>
          <w:b/>
        </w:rPr>
        <w:t>E. 3</w:t>
      </w:r>
    </w:p>
    <w:p>
      <w:r>
        <w:t>Il s'ensuit que le recours est admis. L'arrêt du 22 juin 2016 est annulé. La cause est renvoyée à l'autorité précédente pour qu'elle rende une nouvelle décision au sens des considérants.</w:t>
      </w:r>
    </w:p>
    <w:p>
      <w:r>
        <w:t>Le recourant, qui obtient gain de cause avec un avocat, a droit à une indemnité de dépens à la charge pour moitié chacun, d'une part, de la République et canton de Genève et, d'autre part, de l'intimée ( art. 68 al. 1 et 2 LTF ).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