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6B_979/2025 vom 30. März 2026</w:t>
      </w:r>
    </w:p>
    <w:p>
      <w:r>
        <w:t>Bundesgericht, 2026-03-30, FR</w:t>
      </w:r>
    </w:p>
    <w:p>
      <w:r>
        <w:rPr>
          <w:b/>
        </w:rPr>
        <w:t xml:space="preserve">Quelle: </w:t>
      </w:r>
      <w:r>
        <w:t>https://mcp.opencaselaw.ch/entscheid/bger_6B_979_2025</w:t>
      </w:r>
    </w:p>
    <w:p>
      <w:r>
        <w:t>FR: TF 6B_979/2025 du 30 mars 2026</w:t>
      </w:r>
    </w:p>
    <w:p>
      <w:r>
        <w:t>IT: TF 6B_979/2025 del 30 marzo 2026</w:t>
      </w:r>
    </w:p>
    <w:p>
      <w:pPr>
        <w:pStyle w:val="Heading2"/>
      </w:pPr>
      <w:r>
        <w:t>Erwägungen</w:t>
      </w:r>
    </w:p>
    <w:p>
      <w:r>
        <w:rPr>
          <w:b/>
        </w:rPr>
        <w:t>E. 1</w:t>
      </w:r>
    </w:p>
    <w:p>
      <w:r>
        <w:t>Le recourant reproche à la cour cantonale d'avoir procédé à une appréciation anticipée entachée d'arbitraire et d'avoir violé son droit d'être entendu en refusant d'administrer sa réquisition de preuve visant à l'audition de C.________.</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150 IV 121 consid. 2.1; 147 IV 534 consid. 2.5.1; 144 II 427 consid. 3.1.3; 141 I 60 consid. 3.3).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6B_957/2024 du 12 décembre 2025 consid. 2.1.1).</w:t>
      </w:r>
    </w:p>
    <w:p>
      <w:r>
        <w:rPr>
          <w:b/>
        </w:rPr>
        <w:t>E. 1.2</w:t>
      </w:r>
    </w:p>
    <w:p>
      <w:r>
        <w:t>La cour cantonale a retenu que l'administration de la preuve sollicitée devait être refusée, celle-ci n'étant pas utile pour le traitement de l'appel. En effet, elle s'estimait suffisamment renseignée sur tous les éléments déterminants, étant relevé que le seul point que le témoin C.________ pourrait confirmer était que B.A.________ passait du temps, voire beaucoup de temps, chez lui avec sa fille, ce qui ne permettait pas encore de retenir qu'il s'était constitué un domicile à cette adresse durant la période examinée. II n'y avait donc aucune nécessité d'entendre ce témoin, ce d'autant qu'un témoignage écrit de C.________ figurait déjà au dossier et que près de cinq ans s'étaient écoulés depuis les faits.</w:t>
      </w:r>
    </w:p>
    <w:p>
      <w:r>
        <w:rPr>
          <w:b/>
        </w:rPr>
        <w:t>E. 1.3</w:t>
      </w:r>
    </w:p>
    <w:p>
      <w:r>
        <w:t>En substance, le recourant soutient qu'il s'agirait d'un témoin central si bien que son audition se justifierait, notamment pour clarifier les indications qu'il avait données par écrit. L'écoulement du temps ne serait en outre pas une "raison objective" de refuser l'audition, s'agissant d'une période de vie de plusieurs mois.</w:t>
      </w:r>
    </w:p>
    <w:p>
      <w:r>
        <w:t>Le recourant se contente d'apprécier librement la pertinence des moyens de preuves dans une démarche qui se révèle purement appellatoire. Il ne démontre aucunement en quoi la cour cantonale aurait opéré une appréciation anticipée arbitraire en rejetant l'audition sollicitée aux motifs que celle-ci n'était pas décisive et inutile au regard des éléments du dossier. Insuffisamment motivées, les critiques sont irrecevables ( art. 106 al. 2 LTF ).</w:t>
      </w:r>
    </w:p>
    <w:p>
      <w:r>
        <w:rPr>
          <w:b/>
        </w:rPr>
        <w:t>E. 2</w:t>
      </w:r>
    </w:p>
    <w:p>
      <w:r>
        <w:t>Invoquant la présomption d'innocence, le recourant conteste sa condamnation au sens de l' art. 148a CP . À cet égard, il dénonce l'arbitraire dans l'établissement des faits et l'appréciation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6B_998/2025 du 17 février 2026 consid. 1.1.3; 6B_749/2025 du 16 février 2026 consid. 2.1; 6B_605/2024 du 10 février 2026 consid. 2.2).</w:t>
      </w:r>
    </w:p>
    <w:p>
      <w:r>
        <w:t>Déterminer ce qu'une personne a su, voulu, envisagé ou accepté relève du contenu de la pensée, à savoir de faits "internes" qui, en tant que tels, lient le Tribunal fédéral ( art. 105 al. 1 LTF ), à moins qu'ils aient été retenus de manière arbitraire ( ATF 150 IV 389 consid. 4.7.1; 149 IV 57 consid. 2.2; 148 IV 409 consid. 2.2; 148 IV 234 consid. 3.4).</w:t>
      </w:r>
    </w:p>
    <w:p>
      <w:r>
        <w:rPr>
          <w:b/>
        </w:rPr>
        <w:t>E. 2.2</w:t>
      </w:r>
    </w:p>
    <w:p>
      <w:r>
        <w:t>La cour cantonale a résumé les considérants du Tribunal de police et observé que ceux-ci ne prêtaient pas le flanc à la critique (cf. jugement entrepris, p.16 s.). En outre, elle a souligné ou précisé les éléments suivants. Les déclarations du recourant n'étaient pas crédibles. D'une part, elles étaient en contradiction avec les pièces figurant au dossier. D'autre part, la version donnée par le recourant avait varié, puisque lors de l'audience du 21 février 2025 et à la DGCS, il avait indiqué que son fils avait procédé au changement d'adresse à son insu, alors qu'il avait expliqué au Ministère public que son fils lui avait demandé de déposer officiellement ses papiers chez lui. Il fallait constater que si B.A.________ avait effectivement inscrit son domicile chez son père afin que celui-ci gère ses affaires administratives, le recourant aurait dû être au courant de la situation et ne pouvait invoquer le fait que son fils s'était inscrit chez lui à son insu. De plus, le recourant n'apportait aucun élément permettant d'expliquer pour quelle raison son fils aurait soudainement souhaité que son père gère son courrier, avant d'y renoncer quelques mois après. Le recourant avait aussi admis, dans un premier temps, que quand son fils n'était pas chez sa copine, il était chez lui. Par ailleurs, si tant le recourant que son fils affirmaient que celui-ci vivait dans la famille de son amie durant la période litigieuse, il fallait constater que le père de celle-ci, C.________, n'avait pas confirmé ces propos, en tout cas dans ses premières déclarations à la DGCS. En effet, il avait expliqué par courriel que B.A.________ ne vivait pas chez lui mais chez sa mère. Le fait que le témoin avait par la suite contresigné une allégation rédigée par le conseil du recourant, libellée "Pourriez-vous me confirmer que pendant la période du 1</w:t>
      </w:r>
    </w:p>
    <w:p>
      <w:r>
        <w:t>er février au 31 juillet 2020, M. B.A.________ vivait à votre connaissance chez sa mère, qui est votre voisine, et qu'il passait sinon l'essentiel de son temps chez vous soit auprès de sa compagne" (pièce 25), était en contradiction avec les indications de ce même témoin dans l'enquête administrative et avait une valeur moindre dans la mesure où ce texte avait été établi par l'avocat pour les besoins de la cause. En tout état, B.A.________ devait effectivement passer beaucoup de temps chez sa compagne mais sans y avoir de domicile officiel et avec un centre des intérêts au domicile de son père, où il conservait sa chambre, ses affaires et son courrier. Le fait que C.________ avait indiqué que B.A.________ était domicilié chez sa mère n'était pas pertinent puisque les documents officiels attestaient du contraire et que ni le recourant ni son fils ne le prétendaient. Cela tendait à démontrer que C.________ ne connaissait pas bien l'ami de sa fille et qu'il ne savait pas nécessairement ce qui se passait en dehors de chez lui. B.A.________ avait expliqué qu'il avait pris le domicile de sa mère après avoir rompu avec son amie. Dans le cadre de la procédure administrative, la DGCS avait aussi fait des demandes auprès de la soeur et de la mère de B.A.________, toutefois demeurées sans réponse. Compte tenu de l'ensemble de ces éléments, la cour cantonale a retenu que "la vérité" était celle décrite par B.A.________ dans son audition de police. II semblait clair qu'à l'époque litigieuse, celui-ci avait fait les démarches pour changer de domicile et s'établir, en y laissant ses affaires, chez son père. À l'instar de beaucoup de jeunes couples sans domicile propre, il allait souvent dormir chez sa petite amie" respectivement dans la famille de celle-ci, passait du temps avec elle, et vivait le reste du temps chez son père. Compte tenu des premières indications fournies par C.________, B.A.________ ne vivait pas chez cette famille et le simple fait qu'il dormait régulièrement chez son amie ne permettait pas de considérer qu'il était domicilié à cette adresse. Au contraire, il apparaissait "plus vraisemblable" que le centre des intérêts de B.A.________ se trouvait au domicile de son père puisque non seulement il y recevait son courrier, mais en plus il y disposait d'une chambre et d'affaires, étant au demeurant relevé que le recourant vivait toujours dans un appartement de quatre pièces. Ce n'était que lorsque le CSR s'était intéressé à la situation que B.A.________ avait fait des démarches pour changer d'adresse et partir de chez son père. Les déclarations du prénommé aux débats de première instance ne pouvaient pas être prises en considération puisque, d'une part, il était apparu bien trop catégorique et avait recouvré la mémoire de façon étonnante alors qu'il était beaucoup plus confus et spontané lors de son audition par la police et, d'autre part, elles étaient en contradiction avec les éléments du dossier. Contrairement à ce que soutenait le recourant, c'était la version spontanée et faite sous le coup de la surprise qui devait être privilégiée. La lecture du procès-verbal d'audition de B.A.________ démontrait en outre qu'après une période d'hésitation, il était affirmatif en indiquant qu'il vivait chez son père. Il n'y avait pas de raison de privilégier sa deuxième version. Selon les pièces du dossier, B.A.________ avait expressément parlé de changement de domicile et non seulement d'adresse administrative. Il n'avait pas vraiment donné de raison à ce changement, si ce n'était en expliquant que sa mère ne voulait plus recevoir son courrier. Pourtant, quelques mois après, soit en août 2020, B.A.________ avait procédé une nouvelle fois à un changement de domicile en indiquant à nouveau l'adresse de sa mère. La cour cantonale ne voyait là pas d'autre explication plausible que celle d'un changement survenant à la suite de la demande d'information formulée par le CSR. En définitive, l'ensemble des éléments au dossier permettait de conclure, avec "un degré de vraisemblance suffisant", que B.A.________ vivait bien chez son père durant la période litigieuse.</w:t>
      </w:r>
    </w:p>
    <w:p>
      <w:r>
        <w:t>Dans la mesure où le recourant n'avait pas fait état de cet élément dans les questionnaires mensuels sur le revenu, ni d'une quelconque autre manière, alors qu'il en avait l'obligation, il convenait de confirmer sa condamnation pour obtention illicite de prestations de l'aide sociale au sens de l' art. 148a CP , étant relevé qu'il ne contestait pas, à juste titre, la réalisation des autres éléments constitutifs de l'infraction, dont l'obtention d'un montant indu à hauteur de 6'795 francs.</w:t>
      </w:r>
    </w:p>
    <w:p>
      <w:r>
        <w:rPr>
          <w:b/>
        </w:rPr>
        <w:t>E. 2.3.1</w:t>
      </w:r>
    </w:p>
    <w:p>
      <w:r>
        <w:t>En substance, le recourant prétend qu'il ne serait pas établi que son fils avait habité chez lui durant la période examinée. Il soutient que les registres officiels constitueraient "le seul et unique" élément à charge et ne permettraient pas d'établir le lieu de vie effectif de son fils, constituant tout au plus un indice sur la manière dont celui-ci s'était annoncé auprès des autorités. La cour cantonale aurait mal apprécié les preuves, notamment ses déclarations et celles de son fils, respectivement l'échange de messages entre ces derniers, ainsi que les déclarations de C.________. En définitive, il lui reproche d'avoir violé la présomption d'innocence en concluant à la "vraisemblance suffisante" des faits plutôt qu'à leur établissement; la cour cantonale l'aurait ainsi condamné malgré des "doutes évidents".</w:t>
      </w:r>
    </w:p>
    <w:p>
      <w:r>
        <w:t>Les développements proposés par le recourant s'épuisent en une vaste discussion des faits et des éléments probatoires du dossier, démarche typiquement appellatoire et, partant, irrecevable. De la sorte, il ne démontre pas que la cour cantonale aurait versé dans l'arbitraire en concluant que B.A.________ vivait bien chez son père entre février 2020 et juillet 2020, ce qu'elle a au demeurant déduit d'un faisceau d'indices convergents et pas seulement des documents officiels, tel que cela ressort des considérants du jugement. Le recourant ne démontre pas plus, conformément aux exigences accrues de motivation (cf. art. 106 al. 2 LTF ), en quoi la cour cantonale aurait violé la présomption d'innocence, se contentant d'affirmations appellatoires. Nonobstant les termes utilisés par la cour cantonale, il ressort clairement des motifs développés qu'elle a établi les faits pertinents au-delà du doute raisonnable. Par conséquent, les griefs sont irrecevables.</w:t>
      </w:r>
    </w:p>
    <w:p>
      <w:r>
        <w:rPr>
          <w:b/>
        </w:rPr>
        <w:t>E. 2.3.2</w:t>
      </w:r>
    </w:p>
    <w:p>
      <w:r>
        <w:t>Subsidiairement, le recourant soutient que rien n'indiquerait qu'il avait consciemment caché les faits pertinents à l'autorité administrative. Aussi, dans une configuration "aussi incertaine", son fils "naviguant" entre plusieurs ménages, il convenait de l'acquitter au bénéfice du doute.</w:t>
      </w:r>
    </w:p>
    <w:p>
      <w:r>
        <w:t>Le recourant se base sur sa propre appréciation des faits, non sur ceux qui ont été retenus, sans arbitraire, par la cour cantonale ( art. 105 al. 1 LTF et 106 al. 2 LTF). Au demeurant, la cour cantonale, renvoyant au jugement de première instance (cf. jugement du Tribunal de police, p. 15), n'a pas violé le droit fédéral en considérant qu'il avait agi intentionnellement, fût-ce par dol éventuel, dans la mesure où il avait omis d'annoncer au C SR le changement intervenu dès juillet 2020dans sa composition familiale, dans les questionnaires mensuels sur le revenu ou d'une autre manière, alors qu'il en avait l'obligation - ce qu'il savait - au sens de l'art. 38 de la loi sur l'action sociale vaudoise du 2 décembre 2003 (LASV; RS/VD 850.051) et de l'art. 28 du Règlement d'application de la LASV du 26 octobre 2005 (RLASV/RS 850.051.1). Par conséquent, le grief doit être rejeté, dans la mesure de sa recevabilité.</w:t>
      </w:r>
    </w:p>
    <w:p>
      <w:r>
        <w:rPr>
          <w:b/>
        </w:rPr>
        <w:t>E. 2.3.3</w:t>
      </w:r>
    </w:p>
    <w:p>
      <w:r>
        <w:t>Le recourant semble soutenir qu'il faudrait déduire de la jurisprudence qu'un changement d'adresse "pour des raisons administratives uniquement" n'aurait pas d'incidence sur les prestations financières du revenu d'insertion et n'aurait pas à être obligatoirement annoncé au sens de l'art. 38 LASV. Tel que formulé dans le recours, il est douteux que le grief soit recevable au sens de l' art. 42 al. 2 LTF . Quoi qu'il en soit, peu importe, puisqu'il ressort des faits retenus par la cour cantonale, dont le recourant n'a pas démontré l'arbitraire ( art. 105 al. 1 LTF et 106 al. 2 LTF), que B.A.________ vivait chez son père durant la période litigieuse si bien qu'il ne s'agissait pas d'une "simple déclaration administrative". Le grief s'avère donc irrecevable.</w:t>
      </w:r>
    </w:p>
    <w:p>
      <w:r>
        <w:t>Pour le reste, le recourant ne formule pas de grief recevable tiré d'une application erronée du droit matériel ( art. 42 al. 2 LTF ). Au demeurant, on peut intégralement renvoyer à la motivation cantonale, laquelle ne prête pas le flanc à la critique ( art. 109 al. 3 LTF ). En définitive, la cour cantonale n'a pas violé le droit fédéral en déclarant le recourant coupable d'obtention illicite de prestations d'une assurance sociale ou de l'aide sociale au sens de l' art. 148a CP . Mal fondés, les griefs doivent ainsi être rejetés, dans la mesure de leur recevabilité.</w:t>
      </w:r>
    </w:p>
    <w:p>
      <w:r>
        <w:rPr>
          <w:b/>
        </w:rPr>
        <w:t>E. 3</w:t>
      </w:r>
    </w:p>
    <w:p>
      <w:r>
        <w:t>Le recourant conteste la peine dans la seule mesure de son acquittement pour l'infraction à l' art. 148a CP , qu'il n'obtient pas, de sorte que le grief est sans objet.</w:t>
      </w:r>
    </w:p>
    <w:p>
      <w:r>
        <w:rPr>
          <w:b/>
        </w:rPr>
        <w:t>E. 4</w:t>
      </w:r>
    </w:p>
    <w:p>
      <w:r>
        <w:t>Au vu de ce qui précède, le recours est rejeté, dans la mesure de sa recevabilité en procédure simplifiée selon l' art. 109 LTF .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