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6B_978/2015 vom 2. November 2015</w:t>
      </w:r>
    </w:p>
    <w:p>
      <w:r>
        <w:t>Bundesgericht, 2015-11-02, DE</w:t>
      </w:r>
    </w:p>
    <w:p>
      <w:r>
        <w:rPr>
          <w:b/>
        </w:rPr>
        <w:t xml:space="preserve">Quelle: </w:t>
      </w:r>
      <w:r>
        <w:t>https://mcp.opencaselaw.ch/entscheid/bger_6B_978_2015</w:t>
      </w:r>
    </w:p>
    <w:p>
      <w:r>
        <w:t>FR: TF 6B_978/2015 du 2 novembre 2015</w:t>
      </w:r>
    </w:p>
    <w:p>
      <w:r>
        <w:t>IT: TF 6B_978/2015 del 2 novembre 2015</w:t>
      </w:r>
    </w:p>
    <w:p>
      <w:pPr>
        <w:pStyle w:val="Heading2"/>
      </w:pPr>
      <w:r>
        <w:t>Erwägungen</w:t>
      </w:r>
    </w:p>
    <w:p>
      <w:r>
        <w:rPr>
          <w:b/>
        </w:rPr>
        <w:t>E. 1</w:t>
      </w:r>
    </w:p>
    <w:p>
      <w:r>
        <w:t>Am 8. und 9. Januar 2015 erstattete der Beschwerdeführer gegen zwei Personen Strafanzeige wegen Verleumdung und eventuell übler Nachrede. Sie hätten ihm wahrheitswidrig ein ungebührliches Verhalten unterstellt in der Absicht, ihn gegenüber den Behörden in einem Beschwerdeverfahren betreffend nachträgliche Baubewilligung zu diskreditieren.</w:t>
      </w:r>
    </w:p>
    <w:p>
      <w:r>
        <w:t>Die Regionale Staatsanwaltschaft Bern-Mittelland nahm das Verfahren am 5. März 2015 nicht an die Hand. Eine dagegen gerichtete Beschwerde wies das Obergericht des Kantons Bern am 11. August 2015 ab, soweit es darauf eintrat.</w:t>
      </w:r>
    </w:p>
    <w:p>
      <w:r>
        <w:t>Der Beschwerdeführer wendet sich ans Bundesgericht und beantragt, der Beschluss vom 11. August 2015 und die Nichtanhandnahmeverfügung seien aufzuheben und die Staatsanwaltschaft anzuweisen, eine Untersuchung zu eröffnen.</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Diese Rechtsprechung gilt auch bei Ehrverletzungsdelikten (vgl. Urteil 6B_94/2013 vom 3. Oktober 2013 E. 1.1).</w:t>
      </w:r>
    </w:p>
    <w:p>
      <w:r>
        <w:t>Der Beschwerdeführer äussert sich in seiner Eingabe vor Bundesgericht zu seiner Legitimation und insbesondere zur Frage der Zivilforderung nicht. Mangels Begründung ist davon auszugehen, dass er zum vorliegenden Rechtsmittel nicht legitimiert ist. Darauf ist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