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974/2018 vom 20. Dezember 2018</w:t>
      </w:r>
    </w:p>
    <w:p>
      <w:r>
        <w:t>Bundesgericht, 2018-12-20, FR</w:t>
      </w:r>
    </w:p>
    <w:p>
      <w:r>
        <w:rPr>
          <w:b/>
        </w:rPr>
        <w:t xml:space="preserve">Quelle: </w:t>
      </w:r>
      <w:r>
        <w:t>https://mcp.opencaselaw.ch/entscheid/bger_6B_974_2018</w:t>
      </w:r>
    </w:p>
    <w:p>
      <w:r>
        <w:t>FR: TF 6B 974/2018 du 20 décembre 2018</w:t>
      </w:r>
    </w:p>
    <w:p>
      <w:r>
        <w:t>IT: TF 6B 974/2018 del 20 dicembre 2018</w:t>
      </w:r>
    </w:p>
    <w:p>
      <w:pPr>
        <w:pStyle w:val="Heading2"/>
      </w:pPr>
      <w:r>
        <w:t>Regeste</w:t>
      </w:r>
    </w:p>
    <w:p>
      <w:r>
        <w:t>Diffamation; tentative de contrainte; arbitraire, violation du principe in dubio pro reo; droit d'être entendu | Infractions</w:t>
      </w:r>
    </w:p>
    <w:p>
      <w:pPr>
        <w:pStyle w:val="Heading2"/>
      </w:pPr>
      <w:r>
        <w:t>Erwägungen</w:t>
      </w:r>
    </w:p>
    <w:p>
      <w:r>
        <w:rPr>
          <w:b/>
        </w:rPr>
        <w:t>E. 1</w:t>
      </w:r>
    </w:p>
    <w:p>
      <w:r>
        <w:t>La recourante se plaint de la violation de son droit d'être entendue au motif que l'audition de C.________ en qualité de témoin lui a toujours été refusée.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6B_787/2018 du 1er octobre 2018 consid. 1.1; 6B_583/2018 du 24 août 2018 consid. 1.1; 6B_628/2018 du 16 août 2018 consid.2.1).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w:t>
      </w:r>
    </w:p>
    <w:p>
      <w:r>
        <w:t>La recourante soutient qu'elle a requis l'audition de C.________ dès le début de l'instruction mais que celle-ci n'a jamais été convoquée, que ce soit par devant le Ministère public, le Tribunal de police ou la Cour d'appel du Tribunal cantonal. Pourtant, il ne ressort pas du jugement attaqué que la recourante aurait requis l'audition de ce témoin par devant la cour cantonale, et la recourante ne démontre aucunement le contraire. Faute d'épuisement des voies de droit cantonales, le grief de la recourante est irrecevable ( art. 80 al. 1 LTF ).</w:t>
      </w:r>
    </w:p>
    <w:p>
      <w:r>
        <w:rPr>
          <w:b/>
        </w:rPr>
        <w:t>E. 2</w:t>
      </w:r>
    </w:p>
    <w:p>
      <w:r>
        <w:t>Dans un argumentaire qui mêle indistinctement critiques de fait et de droit, la recourante s'en prend à sa condamnation pour diffamation.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 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arrêt 6B_804/2017 du 23 mai 2018 consid. 2.2.3.1 [destiné à la publication aux ATF]).</w:t>
      </w:r>
    </w:p>
    <w:p>
      <w:r>
        <w:rPr>
          <w:b/>
        </w:rPr>
        <w:t>E. 2.2</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p. 29). Du point de vue subjectif, il suffit que l'auteur ait eu conscience du caractère attentatoire à l'honneur de ses propos et qu'il les ait néanmoins proférés; il n'est pas nécessaire qu'il ait eu la volonté de blesser la personne visée ( ATF 137 IV 313 consid. 2.1.6 p. 317).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 320 ss). 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p. 208).</w:t>
      </w:r>
    </w:p>
    <w:p>
      <w:r>
        <w:rPr>
          <w:b/>
        </w:rPr>
        <w:t>E. 2.3.1</w:t>
      </w:r>
    </w:p>
    <w:p>
      <w:r>
        <w:t>En ce qui concerne les différents courriers de la recourante visant l'intimé A.________, la cour cantonale a considéré que le fait d'écrire qu'une personne est dérangée psychologiquement ou qu'elle a une santé mentale déficiente n'était pas une simple allusion à une maladie. La maladie mentale avait été invoquée dans le but de rabaisser A.________. Par ailleurs, le fait de dire d'une personne qu'elle maltraite sa mère était de nature à faire passer cette personne pour méprisable. De telles affirmations étaient donc attentatoires à l'honneur. La cour cantonale a également retenu que les assertions de la recourante n'avaient d'autres finalités que de dénigrer et de rabaisser A.________ dans le but de le faire paraître peu fiable et antipathique. On comprend que l'autorité précédente a considéré que la recourante avait agi sans motif suffisant et dans le dessein de dire du mal d'autrui, de sorte qu'elle n'était pas admise à apporter la preuve libératoire (cf. art. 173 ch. 3 CP ). La recourante affirme qu'elle n'a jamais eu pour but de rabaisser l'intimé, mais uniquement de décrire sa personnalité et la probable origine de ses comportements dans le cadre du litige qui les divisait. Elle développe à cet égard une argumentation fondée sur des éléments qui ne ressortent pas de l'état de fait de la cour cantonale, sans démontrer en quoi il serait entaché d'arbitraire (cf. consid. 2.1 supra). Cette argumentation est, dans cette mesure, irrecevable ( art. 105 al. 1 LTF ). Au demeurant, les allégations de la recourante sur le comportement procédurier et quérulent prétendument adopté par l'intimé dans le cadre du litige n'enlèvent rien au caractère rabaissant des assertions reprochées. Le fait que la recourante se soit adressée exclusivement à des autorités judiciaires ne l'exculpe pas davantage. En effet, les propos incriminés dans le cadre de l' art. 173 CP doivent avoir été adressés à un tiers, lequel peut être un avocat, un magistrat ou un fonctionnaire (Dupuis et al., Petit Commentaire du Code pénal, 2e éd. 2017, n° 18 ad art. 173 CP ). La cour cantonale pouvait retenir que les conditions de l' art. 173 ch. 1 CP étaient réunies. Par ailleurs, la recourante n'établit pas que la cour cantonale serait tombée dans l'arbitraire en considérant qu'elle avait agi dans le dessein de dire du mal d'autrui, ni qu'elle aurait violé le droit fédéral en excluant l'existence d'un motif suffisant (cf. art. 173 ch. 3 CP ). En effet, la recourante ne s'est pas limitée à exposer l'attitude quérulente de l'intimé et son comportement vis-à-vis de la gérance ou de ses voisins, mais elle a exprimé des commentaires sur sa personne (" santé mentale sérieusement déficiente ", " dérangé psychologiqueme n t ", " malade psychiatrique ", " personne déséquilibrée psychologiquement maltraitant sa mère " etc.) qui, contrairement à ce qu'elle affirme, n'étaient pas rendus nécessaires par la motivation de la résiliation du bail fondée sur l' art. 257f CO .</w:t>
      </w:r>
    </w:p>
    <w:p>
      <w:r>
        <w:rPr>
          <w:b/>
        </w:rPr>
        <w:t>E. 2.3.2</w:t>
      </w:r>
    </w:p>
    <w:p>
      <w:r>
        <w:t>Dans la mesure où la recourante, a agi dans le dessein de dire du mal d'autrui sans motif suffisant (cf. supra consid. 2.3.1) approche qu'elle ne parvient pas à remettre en cause dans le présent recours, elle n'est pas autorisée à apporter les preuves libératoires ( art. 173 ch. 3 CP ). Le sort du recours à l'encontre de la condamnation pour diffamation au préjudice de A.________ est donc scellé sans qu'il soit nécessaire d'examiner les griefs élevés à l'encontre de la motivation subsidiaire de la cour cantonale en rapport avec les preuves de vérité et de bonne foi. Il y a lieu de conclure, sur le vu de ce qui précède, que l'autorité précédente n'a pas violé le droit fédéral en retenant la réalisation de cette infraction.</w:t>
      </w:r>
    </w:p>
    <w:p>
      <w:r>
        <w:rPr>
          <w:b/>
        </w:rPr>
        <w:t>E. 2.4</w:t>
      </w:r>
    </w:p>
    <w:p>
      <w:r>
        <w:t>En rapport avec le courrier du 3 novembre 2015 que la recourante a adressé en copie à l'employeur de B.________, la cour cantonale a retenu que cet écrit faisait passer l'intimée pour une menteuse. La recourante n'avait aucune raison d'en donner une copie à l'employeur, si ce n'est la volonté de nuire à l'intéressée, qui se trouvait au demeurant dans son temps d'essai. Elle avait d'ailleurs admis, devant le tribunal de première instance, avoir eu tort d'agir de la sorte. La recourante affirme avoir agi de bonne foi. Elle soutient avoir écrit à l'employeur car celui-ci avait confié un mandat à une agence de relocation. L'intimée n'était restée que deux mois dans l'appartement avant de trouver un autre logement sans jamais avoir véritablement l'intention de demeurer dans le logement fourni par la recourante, ce qui constituait aux yeux de cette dernière un abus des services offerts par l'employeur de l'intimée, dont il devait être informé. Les éléments de fait allégués par la recourante ne ressortent pas de l'état de fait du jugement attaqué, qui lie le Tribunal fédéral ( art. 105 al. 1 LTF ). Eussent-ils été recevables, qu'ils eussent été voués à l'échec. En effet, la recourante ne s'est pas limitée à informer l'employeur de l'intimée que celle-ci avait quitté l'appartement deux mois seulement après son emménagement, à supposer qu'il lui eût appartenu de le faire, mais elle l'a dénigrée en la traitant de menteuse et en l'accusant d'avoir fait preuve d'astuce. La cour cantonale n'est pas tombée dans l'arbitraire en retenant un dessein de nuire ( art. 173 ch. 3 CP ), excluant ainsi que la recourante soit autorisée à apporter la preuve libératoire. Au demeurant, elle ne démontre pas non plus avoir été de bonne foi ( art. 173 ch. 2 CP ). Le recours est rejeté, dans la mesure de sa recevabilité, en tant qu'il s'en prend à la condamnation pour diffamation au préjudice de B.________.</w:t>
      </w:r>
    </w:p>
    <w:p>
      <w:r>
        <w:rPr>
          <w:b/>
        </w:rPr>
        <w:t>E. 3</w:t>
      </w:r>
    </w:p>
    <w:p>
      <w:r>
        <w:t>La recourante s'en prend à sa condamnation pour tentative de contrainte.</w:t>
      </w:r>
    </w:p>
    <w:p>
      <w:r>
        <w:rPr>
          <w:b/>
        </w:rPr>
        <w:t>E. 3.1</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ATF 137 IV 326 consid. 3.3.1 p. 328). 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137 IV 326 consid. 3.3.1 p. 328; 120 IV 17 consid. 2a/bb p. 20). Ainsi, menacer d'une plainte pénale pour une infraction que rien ne permet sérieusement de soupçonner est un moyen en soi inadmissible (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6B_415/2018 du 20 septembre 2018 consid. 2.1.3; ATF 120 IV 17 consid. 2a/bb p. 20 et les arrêts cités; au sujet de la contrainte susceptible d'être réalisée par un commandement de payer, cf. arrêts 6B_1188/2017 du 5 juin 2018 consid. 3.1; 6B_153/2017 du 28 novembre 2017 consid. 3.1). Sur le plan subjectif, il faut que l'auteur ait agi intentionnellement, c'est-à-dire qu'il ait voulu contraindre la victime à adopter le comportement visé en étant conscient de l'illicéité de son comportement; le dol éventuel suffit ( ATF 120 IV 17 consid. 2c p. 22). Lorsque la victime ne se laisse pas intimider et n'adopte pas le comportement voulu par l'auteur, ce dernier est punissable de tentative de contrainte ( art. 22 al. 1 CP ; ATF 129 IV 262 consid. 2.7 p. 270; 106 IV 125 consid. 2b p. 12).</w:t>
      </w:r>
    </w:p>
    <w:p>
      <w:r>
        <w:rPr>
          <w:b/>
        </w:rPr>
        <w:t>E. 3.2</w:t>
      </w:r>
    </w:p>
    <w:p>
      <w:r>
        <w:t>La cour cantonale a retenu que le but du dernier point de la lettre du 29 octobre 2015 était uniquement d'impressionner l'intimée B.________ par la menace du dépôt d'une plainte pénale et de l'amener à signer l'état des lieux, soit de l'entraver dans sa liberté d'action. Il s'agissait de la menace d'un dommage sérieux. Cette menace ne pouvait en l'espèce être considérée comme un moyen de contrainte licite, au vu notamment de l'absence de lien direct avec la signature de l'état des lieux.</w:t>
      </w:r>
    </w:p>
    <w:p>
      <w:r>
        <w:rPr>
          <w:b/>
        </w:rPr>
        <w:t>E. 3.3</w:t>
      </w:r>
    </w:p>
    <w:p>
      <w:r>
        <w:t>La recourante conteste que l'on puisse retenir la menace d'un dommage sérieux dès lors que l'infraction de dol invoquée dans le courrier n'existe pas. La menace était donc vide de sens. Elle affirme également qu'elle n'attendait aucune réaction de l'intimée à ses lignes, en particulier aucune action ou abstention de cette dernière. La cour cantonale aurait dû constater qu'au moment où la recourante a écrit la lettre du 29 octobre 2015, l'état des lieux ne pouvait de toute façon plus être signé dès lors que cela avait déjà été fait le 28 octobre 2015 en présence de Monsieur Olivier Kail de l'ASLOCA qui avait représenté l'intimée. La recourante se réfère sur ce point à la " pièce 17, page 4 ".</w:t>
      </w:r>
    </w:p>
    <w:p>
      <w:r>
        <w:rPr>
          <w:b/>
        </w:rPr>
        <w:t>E. 3.4</w:t>
      </w:r>
    </w:p>
    <w:p>
      <w:r>
        <w:t>En tant que telle, la menace du dépôt d'une plainte pénale constitue la menace d'un dommage sérieux (cf. ATF 120 IV 17 consid. 2aa p. 19). Que l'infraction invoquée par la recourante n'existe pas n'y change rien; en effet, c'est la dénonciation d'un état de fait à une autorité pénale qui fonde la menace d'un dommage sérieux, peu importe la qualification juridique exacte applicable à celui-ci. Par ailleurs, la pièce n° 17 du dossier cantonal ne contient qu'une seule page et concerne manifestement tout autre chose. Il n'appartient pas au Tribunal fédéral de rechercher lui-même dans les pièces versées au dossier les éléments de fait pertinents à l'appui des manquements invoqués (arrêts 6B_1299/2017 du 10 avril 2018 consid. 1.1; 6B_28/2016 du 10 octobre 2016 consid. 5.3). Quoi qu'il en soit, à la lecture du courrier litigieux, il n'apparaît pas clairement que la recourante ait cherché à contraindre l'intimée à signer l'état des lieux en la menaçant de déposer une plainte pénale si elle ne s'exécutait pas. En effet, la recourante annonçait laisser à l'intimée deux choix: soit " signer le constat " (mis en évidence en gras) et la convention de sortie, soit " refuser de le signer " (mis en évidence en gras) et, dans ce cas, la recourante solliciterait l'intervention de la Justice de paix pour faire procéder à l'état des lieux par un expert. Dans un troisième point, introduit par les termes " Par ailleurs ", la recourante affirmait que l'intimée avait inventé des défauts à l'origine de son départ à bien plaire et qu'elle se réservait le droit de porter plainte pénale contre elle pour ces faits. La recourante n'indiquait pas qu'elle renoncerait au dépôt de la plainte si l'intimée acceptait de signer l'état des lieux. La cour cantonale ne retient par ailleurs aucun élément contextuel qui permettrait de conclure que les lignes de la recourante poursuivaient implicitement un tel but. En particulier, l'intérêt de la recourante à faire signer l'état des lieux ou encore son intention de nuire à l'intimée ne l'établit aucunement. L'intimée fait valoir que le courrier se terminait par ces lignes: " Dans cette attente, veuillez recevoir Madame nos meilleures salutations ", ce qui signifierait que l'ensemble du courrier visait à la contraindre à un certain comportement. Cette interprétation ne s'impose toutefois pas, l'expression " Dans cette attente " pouvant tout à fait se référer uniquement aux deux options présentées en gras dans le courrier. Partant, sur la seule base de ce courrier, il n'était pas possible de retenir qu'en mentionnant qu'elle se réservait le droit de déposer une plainte pénale pour des défauts signalés de manière mensongère, la recourante avait voulu obliger l'intimée à signer l'état des lieux de sortie. Il s'ensuit que la cour cantonale a violé le droit fédéral en concluant à la réalisation de l'infraction de tentative de contrainte. Le recours est admis sur ce point. Il découle de ce qui précède que la cour cantonale devra également rendre une nouvelle décision sur les prétentions en réparation du tort moral de l'intimée.</w:t>
      </w:r>
    </w:p>
    <w:p>
      <w:r>
        <w:rPr>
          <w:b/>
        </w:rPr>
        <w:t>E. 4</w:t>
      </w:r>
    </w:p>
    <w:p>
      <w:r>
        <w:t>Compte tenu de ce qui précède, la cour cantonale devra statuer à nouveau sur la peine.</w:t>
      </w:r>
    </w:p>
    <w:p>
      <w:r>
        <w:rPr>
          <w:b/>
        </w:rPr>
        <w:t>E. 5</w:t>
      </w:r>
    </w:p>
    <w:p>
      <w:r>
        <w:t>La recourante conteste le montant des dépens alloués aux intimés pour la première et la deuxième instance. Elle fait valoir qu'elle a été libérée des préventions de tentative de contrainte - en relation avec la première partie du courrier du 29 octobre 2015 adressé à B.________ - et de faux dans les titres, ce dont la cour cantonale a omis de tenir compte dans l'allocation des dépens aux parties plaignantes. L' 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 ATF 139 IV 102 consid. 4.1 et 4.3 p. 107 s.). La cour cantonale devra statuer à nouveau sur les dépens alloués à l'intimée B.________, dans la mesure où la recourante doit être libérée de l'infraction de tentative de contrainte. La prévention de faux dans les titres visait un état de fait sans rapport aucun avec A.________ ou B.________ (cf. ordonnance pénale du 7 avril 2017, p. 3). Aussi, contrairement à ce que veut soutenir la recourante, l'intimé A.________ a obtenu intégralement gain de cause. Le grief de la recourante est infondé en ce qui le concerne.</w:t>
      </w:r>
    </w:p>
    <w:p>
      <w:r>
        <w:rPr>
          <w:b/>
        </w:rPr>
        <w:t>E. 6</w:t>
      </w:r>
    </w:p>
    <w:p>
      <w:r>
        <w:t>Le recours est partiellement admis, l'arrêt attaqué annulé et la cause renvoyée à l'autorité précédente pour nouvelle décision. Pour le surplus, le recours est rejeté. La recourante, qui n'obtient que partiellement gain de cause, supportera une partie des frais judiciaires ( art. 66 al. 1 LTF ). Une partie des frais judiciaires est également mise à la charge de B.________, qui a conclu au rejet du recours sur la question de la tentative de contrainte et qui succombe. Le canton de Vaud n'a pour sa part pas à en supporter ( art. 66 al. 4 LTF ). La recourante peut prétendre à des dépens réduits, à la charge pour moitié du canton de Vaud et pour moitié de B.________ ( art. 68 al. 1 LTF ). A.________, qui n'a pas été invité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