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972/2018 vom 20. November 2018</w:t>
      </w:r>
    </w:p>
    <w:p>
      <w:r>
        <w:t>Bundesgericht, 2018-11-20, FR</w:t>
      </w:r>
    </w:p>
    <w:p>
      <w:r>
        <w:rPr>
          <w:b/>
        </w:rPr>
        <w:t xml:space="preserve">Quelle: </w:t>
      </w:r>
      <w:r>
        <w:t>https://mcp.opencaselaw.ch/entscheid/bger_6B_972_2018</w:t>
      </w:r>
    </w:p>
    <w:p>
      <w:r>
        <w:t>FR: TF 6B 972/2018 du 20 novembre 2018</w:t>
      </w:r>
    </w:p>
    <w:p>
      <w:r>
        <w:t>IT: TF 6B 972/2018 del 20 novembre 2018</w:t>
      </w:r>
    </w:p>
    <w:p>
      <w:pPr>
        <w:pStyle w:val="Heading2"/>
      </w:pPr>
      <w:r>
        <w:t>Regeste</w:t>
      </w:r>
    </w:p>
    <w:p>
      <w:r>
        <w:t>Abus de confiance, chose confiée, erreur sur les faits; arbitraire, in dubio pro reo | Infractions</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142 III 364 consid. 2.4 p. 368). 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1.2</w:t>
      </w:r>
    </w:p>
    <w:p>
      <w:r>
        <w:t>Se prévalant de l' art. 97 al. 1 LTF , le recourant invoque, dans un premier grief, un établissement des faits manifestement inexact. Il se limite toutefois pour l'essentiel à livrer sa propre appréciation des moyens de preuves en rediscutant, sur une dizaine de pages, l'historique de ses relations contractuelles avec les intimés ainsi que l'interprétation à donner à divers documents versés au dossier et aux déclarations recueillies en cours de procédure. Il reproche aussi à la cour cantonale d'avoir violé sa présomption d'innocence et d'avoir ignoré certains faits pertinents propres à dénier le caractère intentionnel des infractions en cause, sans toutefois démontrer précisément en quoi leur omission serait empreinte d'arbitraire. Cette démarche, essentiellement appellatoire, ne répond pas aux exigences de motivation déduites de l' art. 106 al. 2 LTF . La recevabilité du grief est douteuse, de sorte que seuls seront examinés, dans la suite de l'arrêt, les arguments du recourant qui ne sont pas d'emblée irrecevables.</w:t>
      </w:r>
    </w:p>
    <w:p>
      <w:r>
        <w:rPr>
          <w:b/>
        </w:rPr>
        <w:t>E. 2</w:t>
      </w:r>
    </w:p>
    <w:p>
      <w:r>
        <w:t>Le recourant conteste sa condamnation pour abus de confiance.</w:t>
      </w:r>
    </w:p>
    <w:p>
      <w:r>
        <w:rPr>
          <w:b/>
        </w:rPr>
        <w:t>E. 2.1</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Bien que cet élément ne soit pas explicitement énoncé par l' art. 138 ch. 1 al. 2 CP , la disposition exige que le comportement adopté par l'auteur cause un dommage, qui représente en l'occurrence un élément constitutif objectif non écrit ( ATF 111 IV 19 consid. 5 p. 23; arrêt 6B_249/2017 du 17 janvier 2018 consid. 2.1).</w:t>
      </w:r>
    </w:p>
    <w:p>
      <w:r>
        <w:rPr>
          <w:b/>
        </w:rPr>
        <w:t>E. 2.2</w:t>
      </w:r>
    </w:p>
    <w:p>
      <w:r>
        <w:t>Le recourant soutient que les acomptes versés par les intimés devaient servir non uniquement à l'achat de fournitures, mais également au transport des matériaux et à la main d'oeuvre nécessaire à l'exécution des travaux. Ainsi, à défaut d'une affectation précisément convenue, il était exclu de retenir que les acomptes constituaient des valeurs patrimoniales confiées au sens de l' art. 138 CP .</w:t>
      </w:r>
    </w:p>
    <w:p>
      <w:r>
        <w:rPr>
          <w:b/>
        </w:rPr>
        <w:t>E. 2.2.1</w:t>
      </w:r>
    </w:p>
    <w:p>
      <w:r>
        <w:t>Dans le cadre d'un contrat d'entreprise ( art. 363 ss CO ), les acomptes versés par le maître de l'ouvrage à l'entrepreneur constituent des valeurs patrimoniales confiées, pour autant que les parties aient convenu de l'affectation des acomptes, par exemple au règlement des factures relatives à la construction faisant l'objet du contrat (arrêt 6B_160/2012 du 5 avril 2013 consid. 2.2).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 6B_1118/2017 du 23 mai 2018 consid. 1.2.2).</w:t>
      </w:r>
    </w:p>
    <w:p>
      <w:r>
        <w:rPr>
          <w:b/>
        </w:rPr>
        <w:t>E. 2.2.2</w:t>
      </w:r>
    </w:p>
    <w:p>
      <w:r>
        <w:t>En droit suisse des contrats, la question de savoir si les parties ont conclu un accord est soumise au principe de la priorité de la volonté subjective sur la volonté objective ( ATF 123 III 35 consid. 2b p. 39). L' art. 18 al. 1 CO prévoit ainsi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 p. 97 s.).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précité consid. 5.2.1 p. 97 s.; 123 III 35 consid. 2b p. 39). En procédure, le juge doit donc rechercher, dans un premier temps, la réelle et commune intention des parties (interprétation subjective), le cas échéant empiriquement, sur la base d'indices ( ATF 132 III 268 consid. 2.3.2 p. 274 s.; 132 III 626 consid. 3.1 p. 632; 131 III 606 consid. 4.1 p. 611).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p. 98).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98 s.; arrêt 4A_508/2016 précité consid. 6.2).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 ATF 133 III 61 consid. 2.2.1 p. 67).</w:t>
      </w:r>
    </w:p>
    <w:p>
      <w:r>
        <w:rPr>
          <w:b/>
        </w:rPr>
        <w:t>E. 2.2.3</w:t>
      </w:r>
    </w:p>
    <w:p>
      <w:r>
        <w:t>En l'espèce, la cour cantonale a constaté que les devis remis par le recourant aux époux A.________ (intimés 2) et C.________ (intimés 3) prévoyaient clairement que les acomptes litigieux, à payer dès acceptation du devis, devaient servir à l'achat des " fournitures ", sans qu'il ne fût alors question d'une autre affectation. Il en allait ainsi s'agissant des travaux de terrassement (cf. dossier cantonal, P. 5/6) et de construction d'un mur (cf. P. 5/7) pour le compte des intimés 2. A cet égard, il est établi que, le 29 octobre 2014, après réception du devis signé par ces derniers, le recourant les avait remerciés pour leurs commandes et leur avait demandé le versement des acomptes litigieux en indiquant qu'il allait passer " dès ce jour commande pour les matériaux prévus aux devis ". Par ailleurs, si le devis des travaux relatifs à la réalisation d'un carport (cf. P. 25/2) pour les intimés 3 n'était certes pas signé, le recourant ne conteste pas que celui-ci avait été accepté " par oral et par actes concluants " (cf. jugement entrepris, p. 18). Il ne conteste pas non plus avoir indiqué aux intimés 3, après l'acceptation du devis, qu'il passait commande pour les matériaux nécessaires, invitant à cette occasion ses clients à verser un montant de 17'250 fr. sur le compte de E.________ Sàrl (cf. dossier cantonal, P. 25/14). A l'occasion de plusieurs de ses auditions, le recourant avait du reste confirmé que les acomptes étaient spécifiquement prévus pour l'achat de matériel et servaient donc à payer la marchandise (cf. procès-verbal d'audition du 21 octobre 2015, p. 3, 6 et 7; procès-verbal d'audition du 17 janvier 2017, p. 2-3). Compte tenu de ce qui précède, la cour cantonale pouvait retenir que la volonté réelle et commune des parties quant à l'affectation des montants versés était suffisamment établie. En effet, au vu des termes clairs utilisés par les parties dans leurs écrits et en l'absence d'éléments suggérant l'existence d'un désaccord au moment de la conclusion du contrat et du paiement des acomptes, une telle constatation est dénuée d'arbitraire. Il n'y a pas lieu dans ce contexte de déterminer le sens objectif à donner au mot " acompte " ou aux déclarations subséquentes des parties recueillies en cours de procédure.</w:t>
      </w:r>
    </w:p>
    <w:p>
      <w:r>
        <w:rPr>
          <w:b/>
        </w:rPr>
        <w:t>E. 2.2.4</w:t>
      </w:r>
    </w:p>
    <w:p>
      <w:r>
        <w:t>En conséquence, dans la mesure où le recourant s'était engagé, dans le cadre des contrats d'entreprise conclus avec les intimés, à utiliser les montants versés pour une affectation déterminée, à savoir l'achat des fournitures nécessaires à la réalisation des travaux, ceux-ci constituent bien des valeurs patrimoniales confiées au sens de l' art. 138 CP .</w:t>
      </w:r>
    </w:p>
    <w:p>
      <w:r>
        <w:rPr>
          <w:b/>
        </w:rPr>
        <w:t>E. 2.3</w:t>
      </w:r>
    </w:p>
    <w:p>
      <w:r>
        <w:t>Le recourant conteste avoir utilisé les acomptes litigieux au profit de sa société.</w:t>
      </w:r>
    </w:p>
    <w:p>
      <w:r>
        <w:rPr>
          <w:b/>
        </w:rPr>
        <w:t>E. 2.3.1</w:t>
      </w:r>
    </w:p>
    <w:p>
      <w:r>
        <w:t>La cour cantonale a relevé que, lors de son audition du 21 octobre 2015, le recourant avait admis avoir utilisé les acomptes versés par les intimés 2 en novembre 2014 pour le paiement des charges d'exploitation de son entreprise, notamment des charges sociales. Il avait du reste expliqué à cette occasion qu'il n'était alors pas en mesure de rembourser les intimés 2 (cf. jugement entrepris, consid. 3.5.1.2, p. 17 s.; procès-verbal d'audition du 21 octobre 2015, p. 3 s.). Il en allait de même de l'acompte versé en juin 2014 par les intimés 3, celui-ci ayant également servi au paiement de factures en souffrance et à des prélèvements privés. Il ne s'était en revanche jamais procuré les fournitures nécessaires à l'exécution des travaux, la commande effectuée auprès de la société I.________ SA n'étant pas " ferme " et n'ayant jamais été acquittée (cf. jugement entrepris, consid. 3.6.1, p. 18 s.; dossier cantonal, P. 50/2). Au regard des pièces produites au dossier, de telles constatations sont dénuées d'arbitraires. C'est ainsi en vain que le recourant se prévaut de l'absence de prélèvements privés. Ceux-ci sont en effet attestés par les relevés de compte bancaire produits au dossier (cf. dossier cantonal, P. 6/7), desquels il ressort que le recourant a procédé personnellement, dans les jours et semaines qui ont suivi les versements litigieux sur le compte bancaire de la société, soit après le 23 juin 2014, puis à nouveau après le 11 novembre 2014, à divers versements, retraits en espèces et paiements de factures. Ainsi, alors que le solde du compte était de 21'127 fr. 09 en date du 23 juin 2014, après le paiement de l'acompte des intimés 3, il ne subsistait sur le compte qu'un montant de 72 fr. 44 au début du mois de novembre 2014, soit à la veille des paiements des acomptes des intimés 2, survenus les 10 et 11 novembre 2014, pour un montant total de 36'290 francs. Après ces paiements, le solde du compte s'élevait alors à 35'712 fr. 44, mais a ensuite progressivement diminué pour atteindre un montant de 15 fr. 59 au moment de la résiliation du contrat par les intimés 2, survenue le 9 avril 2015.</w:t>
      </w:r>
    </w:p>
    <w:p>
      <w:r>
        <w:rPr>
          <w:b/>
        </w:rPr>
        <w:t>E. 2.3.2</w:t>
      </w:r>
    </w:p>
    <w:p>
      <w:r>
        <w:t>Au vu de ce qui précède, il est établi qu'aussitôt après avoir reçu le paiement des montants litigieux par les intimés, le recourant les avait utilisés, sans droit, à des fins étrangères à la destination initialement convenue. Peu importe à cet égard que ces montants ont servi au paiement de salaires ou au remboursement de frais. En outre, dès lors que le recourant n'avait pas été par la suite en mesure d'affecter les montants litigieux au paiement des fournitures, ni de les restituer aux intéressés, il leur a ainsi causé un dommage. Cela étant, il importe peu en l'espèce de déterminer la date d'exécution des travaux qui avait été convenue par les parties, ni la validité de la résiliation des contrats éventuellement communiquée par les intimés en application de l' art. 366 CO .</w:t>
      </w:r>
    </w:p>
    <w:p>
      <w:r>
        <w:rPr>
          <w:b/>
        </w:rPr>
        <w:t>E. 2.4</w:t>
      </w:r>
    </w:p>
    <w:p>
      <w:r>
        <w:t>Le recourant conteste avoir agi dans un dessein d'enrichissement illégitime.</w:t>
      </w:r>
    </w:p>
    <w:p>
      <w:r>
        <w:rPr>
          <w:b/>
        </w:rPr>
        <w:t>E. 2.4.1</w:t>
      </w:r>
    </w:p>
    <w:p>
      <w:r>
        <w:t>Du point de vue subjectif, l'auteur doit avoir agi intentionnellement et dans un dessein d'enrichissement illégitime, lequel peut être réalisé par dol éventuel ( ATF 118 IV 32 consid. 2a p. 34; arrêt 6B_717/2018 du 10 septembre 2018 consid. 5.1). Celui qui dispose à son profit ou au profit d'un tiers d'un bien qui lui a été confié et qu'il s'est engagé à tenir en tout temps à disposition de l'ayant-droit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 ATF 105 IV 29 consid. 3a p. 35; arrêt 6B_613/2016 du 1 er décembre 2016 consid. 4).</w:t>
      </w:r>
    </w:p>
    <w:p>
      <w:r>
        <w:rPr>
          <w:b/>
        </w:rPr>
        <w:t>E. 2.4.2</w:t>
      </w:r>
    </w:p>
    <w:p>
      <w:r>
        <w:t>Le recourant soutient que la résiliation du contrat par les intimés 2 en date du 9 avril 2015 avait fait naître en faveur de sa société une créance en indemnisation au sens de l' art. 377 CO , qu'il était en droit de compenser avec les acomptes que les intimés 2 avaient versés. Le dessein d'enrichissement illégitime ferait en conséquence défaut. Le recourant perd de vue qu'aux termes de l' art. 120 al. 1 CO , la compensation peut être opérée pour autant que les deux dettes soient exigibles. Or, la créance en indemnisation qu'il fait valoir est née au plus tôt en avril 2015, de sorte qu'elle n'existait pas au moment où il avait commencé à faire usage des valeurs patrimoniales confiées par les intimés 2, soit dès le mois de novembre 2014. Le recourant ne saurait donc se prévaloir d'avoir agi en vue de se payer. Il en va de même s'agissant des créances de 16'029 fr., 2759 fr. et 798 fr. 25 qu'il explique disposer à l'égard des intimés 3 pour des travaux de terrassement et de construction d'un mur. Le recourant n'expose pas en quoi les créances relatives à ces travaux, qui ont été exécutés respectivement en novembre et décembre 2014, puis en mars et avril 2015, existaient déjà au moment où il s'était approprié les valeurs confiées par les intimés 3, soit dès le mois de juin 2014.</w:t>
      </w:r>
    </w:p>
    <w:p>
      <w:r>
        <w:rPr>
          <w:b/>
        </w:rPr>
        <w:t>E. 2.4.3</w:t>
      </w:r>
    </w:p>
    <w:p>
      <w:r>
        <w:t>Il ressort par ailleurs du jugement entrepris que le recourant avait admis qu'en utilisant immédiatement les montants versés à son profit et à celui de son entreprise, alors que cette dernière connaissait des difficultés financières, il ne pourrait ni les affecter aux travaux, ni le cas échéant les rembourser. La cour cantonale n'a pas violé le droit fédéral en considérant que ces faits caractérisent tant l'intention qu'un dessein d'enrichissement illégitime.</w:t>
      </w:r>
    </w:p>
    <w:p>
      <w:r>
        <w:rPr>
          <w:b/>
        </w:rPr>
        <w:t>E. 2.5</w:t>
      </w:r>
    </w:p>
    <w:p>
      <w:r>
        <w:t>Le recourant se prévaut encore d'une erreur sur les faits au sens de l' art. 13 CP . En soutenant toutefois qu'il était convaincu tant de l'existence de créances de sa société contre les intimés que de l'absence de valeurs confiées et de créances des intimés à son égard, son grief repose sur sa propre version des événements, alors qu'il n'est pas parvenu à démontrer que l'état de fait de la cour cantonale serait arbitraire. En tant qu'il fait valoir ne pas avoir eu l'impression de violer le droit pénal en affectant les acomptes reçus au paiement des charges de sa société, le recourant se prévaut en réalité d'une erreur sur l'illicéité au sens de l' art. 21 CP , sans expliquer pour autant quelles étaient les raisons qu'il avait de se croire en droit d'agir (cf. ATF 128 IV 201 consid. 2 p. 210), alors que l'affectation des acomptes versés avait été spécialement convenue avec les intimés. Enfin, en se prévalant du fait qu'il n'était pas " parti aux Bermudes " avec les valeurs confiées, mais qu'il les avait utilisées pour pallier a ses difficultés, le recourant invoque des éléments propres à entrer en considération dans la fixation de la peine. Il ne développe toutefois aucun grief spécifique quant à la peine qui lui a été infligée et ne soutient pas que des éléments soulevés n'auraient pas été pris en compte dans ce cadre.</w:t>
      </w:r>
    </w:p>
    <w:p>
      <w:r>
        <w:rPr>
          <w:b/>
        </w:rPr>
        <w:t>E. 2.6</w:t>
      </w:r>
    </w:p>
    <w:p>
      <w:r>
        <w:t>En définitive, la condamnation du recourant pour abus de confiance ne viole pas le droit fédéral.</w:t>
      </w:r>
    </w:p>
    <w:p>
      <w:r>
        <w:rPr>
          <w:b/>
        </w:rPr>
        <w:t>E. 3</w:t>
      </w:r>
    </w:p>
    <w:p>
      <w:r>
        <w:t>Le recourant ne conteste pas en tant que telle l'allocation des conclusions civiles prises par les intimés, mais s'en prévaut uniquement comme une conséquence de son acquittement. Ce moyen est dès lors irrecevable.</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