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6B_971/2023 vom 19. Oktober 2023</w:t>
      </w:r>
    </w:p>
    <w:p>
      <w:r>
        <w:t>Bundesgericht, 2023-10-19, FR</w:t>
      </w:r>
    </w:p>
    <w:p>
      <w:r>
        <w:rPr>
          <w:b/>
        </w:rPr>
        <w:t xml:space="preserve">Quelle: </w:t>
      </w:r>
      <w:r>
        <w:t>https://mcp.opencaselaw.ch/entscheid/bger_6B_971_2023</w:t>
      </w:r>
    </w:p>
    <w:p>
      <w:r>
        <w:t>FR: TF 6B_971/2023 du 19 octobre 2023</w:t>
      </w:r>
    </w:p>
    <w:p>
      <w:r>
        <w:t>IT: TF 6B_971/2023 del 19 ottobre 2023</w:t>
      </w:r>
    </w:p>
    <w:p>
      <w:pPr>
        <w:pStyle w:val="Heading2"/>
      </w:pPr>
      <w:r>
        <w:t>Erwägungen</w:t>
      </w:r>
    </w:p>
    <w:p>
      <w:r>
        <w:rPr>
          <w:b/>
        </w:rPr>
        <w:t>E. 1</w:t>
      </w:r>
    </w:p>
    <w:p>
      <w:r>
        <w:t>Le recourant reproche à la cour cantonale d'avoir refusé d'ordonner un complément d'expertise et d'avoir refusé l'audition des experts.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6B_1155/2022 du 21 août 2023 consid. 2.1; 6B_933/2022 du 8 mai 2023 consid. 2.1.1; 6B_1403/2021 du 9 juin 2022 consid. 1.2, non publié in ATF 148 I 295 ). La juridiction d'appel peut ainsi refuser des preuves nouvelles lorsqu'une administration anticipée de ces preuves démontre qu'elles ne seront pas de nature à modifier le résultat de celles déjà administrées ( ATF 136 I 229 consid. 5.3; arrêts 6B_239/2023 du 10 août 2023 consid. 1.1; 6B_933/2022 précité consid. 2.1.1).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6B_933/2022 précité consid. 2.1.1).</w:t>
      </w:r>
    </w:p>
    <w:p>
      <w:r>
        <w:rPr>
          <w:b/>
        </w:rPr>
        <w:t>E. 1.2</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6B_812/2020 du 16 juillet 2020 consid. 2.1;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 art. 9 Cst. ( ATF 142 IV 49 consid. 2.1.3).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6B_154/2021 du 17 novembre 2021 consid. 1.7.1 et la référence citée).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 6B_188/2023 du 28 juin 2023 consid. 2.1.5).</w:t>
      </w:r>
    </w:p>
    <w:p>
      <w:r>
        <w:rPr>
          <w:b/>
        </w:rPr>
        <w:t>E. 1.3</w:t>
      </w:r>
    </w:p>
    <w:p>
      <w:r>
        <w:t>La cour cantonale a relevé qu'au terme de leur rapport du 31 décembre 2021, à la question visant à déterminer si, dans l'hypothèse où un traitement ambulatoire était approprié, celui-ci serait entravé dans son application ou si ses chances de succès seraient notablement amoindries par l'exécution d'une peine privative de liberté, les experts ont répondu par la négative ("Non"). Elle ne partageait pas l'appréciation du recourant au sujet d'une éventuelle contradiction des experts entre cette réponse et le reste de leur rapport. En effet, ils avaient répondu clairement et de manière identique aux questions 4.5 et 5.5 posées, soit par un "Non". Au demeurant, il ne ressortait pas du reste du rapport que l'exécution de la peine entraverait notablement les chances de succès du traitement ambulatoire. On ne saurait en effet déduire du fait que les experts avaient exposé que le trouble de la personnalité présenté par le recourant nécessitait un traitement psychiatrique intégré qui impliquait une part semi-institutionnelle et que les modalités alors mises en place, à savoir notamment un placement en appartement supervisé, associé à un suivi régulier psychiatrique et psychothérapeutique, paraissaient adaptées sur le plan psychiatrique, qu'un traitement ambulatoire serait entravé par l'exécution d'une peine privative de liberté. La cour cantonale ne voyait dans ces explications aucune contradiction avec la réponse claire et sans appel à la question qui leur avait été posée subséquemment de savoir si un traitement ambulatoire serait entravé dans son application ou si ses chances de succès seraient notablement amoindries par l'exécution d'une peine privative de liberté. Sur ce point, l'expertise ne souffrait donc d'aucune inadvertance ou ambiguïté. Par ailleurs, l'expertise était complète, suffisamment étayée et ne comportait aucune contradiction avec les éléments au dossier. Partant, le rapport d'expertise ne souffrait d'aucune ambiguïté de sorte qu'un complément d'expertise était vain. Les réquisitions de preuves sollicitées par le recourant devaient par conséquent être rejetées, les conditions posées par l' art. 389 al. 2 et 3 CP n'étant pas réalisées.</w:t>
      </w:r>
    </w:p>
    <w:p>
      <w:r>
        <w:rPr>
          <w:b/>
        </w:rPr>
        <w:t>E. 1.4</w:t>
      </w:r>
    </w:p>
    <w:p>
      <w:r>
        <w:t>S'agissant du refus d'ordonner un complément d'expertise, le recourant reproche aux experts d'avoir répondu négativement à la question de savoir si le traitement ambulatoire serait entravé dans son application par l'exécution d'une peine privative de liberté sans en avoir donné les raisons. Il soutient également que cette réponse serait "en totale contradiction" avec le reste du rapport d'expertise. En réalité, il oppose sa propre appréciation de l'expertise à celle de la cour cantonale, sans démontrer en quoi celle-ci serait arbitraire, ce qui n'apparaît pas être le cas, étant rappelé que les experts ont clairement répondu "non" à deux questions qui leur ont été posées par rapport à une éventuelle incompatibilité entre un traitement ambulatoire et une exécution de la peine privative de liberté. Pour le surplus, par son argumentation, le recourant présente sa propre appréciation de l'expertise, sans démontrer que celle-ci serait incomplète ou peu claire. On relèvera à cet égard que le fait de considérer que le maintien du recourant dans l'appartement protégé dans lequel il se trouvait paraissait adapté sur le plan psychiatrique ne signifie pas qu'un traitement ambulatoire serait notablement entravé par l'exécution de la peine privative de liberté.</w:t>
      </w:r>
    </w:p>
    <w:p>
      <w:r>
        <w:t>Dans ces circonstances, l'autorité précédente n'a pas violé le droit fédéral en ne mettant pas en oeuvre un rapport d'expertise complémentaire au sens de l' art. 189 CPP .</w:t>
      </w:r>
    </w:p>
    <w:p>
      <w:r>
        <w:rPr>
          <w:b/>
        </w:rPr>
        <w:t>E. 1.5</w:t>
      </w:r>
    </w:p>
    <w:p>
      <w:r>
        <w:t>Se référant notamment aux art. 389 al. 2 et 6 al. 2 CPP ainsi qu'à l' art. 6 par. 3 let . d CEDH, le recourant s'en prend au refus de la cour cantonale d'entendre l'expert oralement.</w:t>
      </w:r>
    </w:p>
    <w:p>
      <w:r>
        <w:rPr>
          <w:b/>
        </w:rPr>
        <w:t>E. 1.5.1</w:t>
      </w:r>
    </w:p>
    <w:p>
      <w:r>
        <w:t>Le prévenu dispose d'un droit d'interroger l'expert découlant de l' art. 6 par. 3 let . d CEDH. Ce droit est en principe invoqué au cours de la procédure préliminaire. La demande d'interroger l'expert doit en principe être formulée au plus tard lors de la procédure de première instance dans le cadre des réquisitions de preuves au sens de l' art. 331 al. 2 CPP (arrêt 6B_1080/2021 du 8 décembre 2021 consid. 2.3 et les références citées). L'audition orale d'un expert en deuxième instance peut également se justifier lorsque, par exemple, l'interprétation des constatations de l'expertise par l'instance précédente dans la motivation de son jugement ou un développement ultérieur soulève des questions (arrêt 6B_1080/2021 précité consid. 2.3; cf. aussi MARIANNE HEER, in Basler Kommentar, Schweizerische Strafprozessordnung, 3e éd., 2023, n° 3a ad art. 188 CPP ).</w:t>
      </w:r>
    </w:p>
    <w:p>
      <w:r>
        <w:rPr>
          <w:b/>
        </w:rPr>
        <w:t>E. 1.5.2</w:t>
      </w:r>
    </w:p>
    <w:p>
      <w:r>
        <w:t>En l'espèce, il ressort du dossier que le rapport d'expertise du 31 décembre 2021 a été communiqué au recourant le 10 janvier 2022 et qu'un délai lui a été imparti, en application de l' art. 188 CPP , pour formuler ses éventuelles observations. Il a dès lors eu l'occasion de se déterminer par rapport à l'expertise en formulant d'éventuelles questions et/ou critiques. Par courrier du 25 janvier 2022, le recourant a cependant indiqué qu'il n'avait pas d'observations à formuler quant au rapport d'expertise psychiatrique (cf. pièce 71 du dossier cantonal; art. 105 al. 2 LTF ). Par ailleurs, il ressort également du dossier qu'à la suite d'un courrier du 22 février 2022 impartissant au recourant un délai au 17 mars 2022 pour faire part des éventuelles réquisitions de preuve, celui-ci n'a pas requis l'audition des experts (cf. pièce 75 du dossier cantonal; art. 105 al. 2 LTF ). Par ailleurs, il ne ressort pas du jugement de première instance qu'il aurait requis une telle mesure devant le tribunal correctionnel.</w:t>
      </w:r>
    </w:p>
    <w:p>
      <w:r>
        <w:t>Dans ces conditions, il est douteux que le recourant puisse se prévaloir du refus de la cour cantonale d'accéder à sa requête subsidiaire tendant à l'audition des experts psychiatres, formulée en appel à titre de réquisition d'entrée de cause. En tout état, dans la mesure où l'instance précédente a considéré que l'expertise était claire, complète et ne comportait aucune contradiction (cf.</w:t>
      </w:r>
    </w:p>
    <w:p>
      <w:r>
        <w:t>supra consid. 1.3), elle pouvait, sans arbitraire, par une appréciation anticipée des preuves, renoncer à l'audition des experts.</w:t>
      </w:r>
    </w:p>
    <w:p>
      <w:r>
        <w:rPr>
          <w:b/>
        </w:rPr>
        <w:t>E. 2</w:t>
      </w:r>
    </w:p>
    <w:p>
      <w:r>
        <w:t>Le recourant reproche à la cour cantonale de ne pas avoir suspendu l'exécution de sa peine au profit du traitement ambulatoire ordonné. Il soutient en substance, d'une part, que le risque de récidive serait "contenu" dans le cadre de l'appartement protégé dans lequel il se trouvait depuis 2021 et, d'autre part, qu'il s'est déjà soumis volontairement à ce cadre "semi-institutionnel" qu'il a suivi avec succès et dans lequel il s'est investi de manière positive. Il fait valoir à cet égard que tant les experts que ses soignants considèrent que ce cadre est adapté.</w:t>
      </w:r>
    </w:p>
    <w:p>
      <w:r>
        <w:rPr>
          <w:b/>
        </w:rPr>
        <w:t>E. 2.1</w:t>
      </w:r>
    </w:p>
    <w:p>
      <w:r>
        <w:t>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w:t>
      </w:r>
    </w:p>
    <w:p>
      <w:r>
        <w:t>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 art. 63 al. 2 1 re phrase CP).</w:t>
      </w:r>
    </w:p>
    <w:p>
      <w:r>
        <w:t>Selon la jurisprudence, le principe est que la peine est exécutée et que le traitement ambulatoire est suivi en même temps. La suspension de la peine est l'exception ( ATF 129 IV 161 consid. 4.1 et 4.3; arrêts 6B_147/2021 du 29 septembre 2021 consid. 3.4; 6B_39/2018 du 5 juillet 2018 consid. 1.1.4; 6B_992/2017 du 11 décembre 2017 consid. 2.1.2; 6B_339/2014 du 27 novembre 2014 consid. 4.1 non publié aux ATF 140 IV 145 ). Elle est soumise à deux conditions. D'une part, l'auteur ne doit pas être dangereux et, d'autre part, la thérapie ambulatoire doit s'avérer prioritaire (arrêts 6B_1020/2017 du 3 janvier 2018 consid. 2; 6B_53/2017 du 2 mai 2017 consid. 1.3; 6B_297/2014 du 24 novembre 2014 consid. 4.2; cf. également QUELOZ/ZERMATTEN, in Commentaire romand du Code pénal, n° 22 ad art. 63 CP ).</w:t>
      </w:r>
    </w:p>
    <w:p>
      <w:r>
        <w:t>Une suspension doit se justifier suffisamment par des motifs thérapeutiques. Elle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et 4.3; arrêts précités 6B_147/2021 consid. 3.4 et 6B_992/2017 consid. 2.1.2).</w:t>
      </w:r>
    </w:p>
    <w:p>
      <w:r>
        <w:rPr>
          <w:b/>
        </w:rPr>
        <w:t>E. 2.2</w:t>
      </w:r>
    </w:p>
    <w:p>
      <w:r>
        <w:t>La cour cantonale a considéré que, dans la mesure où le recourant avait été condamné à une peine privative de liberté de cinq ans, il convenait d'apprécier avec retenue si les conditions posées par la jurisprudence étaient réalisées. S'agissant de la première condition, à savoir que l'auteur ne devait pas constituer un danger pour la collectivité, la cour cantonale a constaté que les experts psychiatres avaient retenu, indépendamment du fait que le recourant eut été ou non l'auteur de l'incendie, un risque modéré de récidive d'acte illicite de quelque type que cela soit, dont des actes de violence. En présence d'un risque de récidive d'actes de violence, la suspension de la peine privative de liberté au profit du traitement ambulatoire ordonné paraissait devoir être exclue pour ce motif déjà. En tout état de cause, la cour cantonale a relevé que le traitement psychiatrique intégré à l'Unité de psychiatrie ambulatoire du secteur psychiatrique Nord, entamé depuis 2016 par le recourant ne l'avait pas dissuadé de consommer de grandes quantités d'alcool - une à deux bouteilles de vodka par jour en début de mois selon ses dires - et de commettre un incendie volontaire par lequel il avait créé un danger collectif. Par ailleurs, l'absence de reconnaissance des faits par l'intéressé, ainsi que ses antécédents, achevait de convaincre du fait que la dangerosité qu'il présentait faisait obstacle à la suspension de l'exécution de sa peine au profit du traitement ambulatoire.</w:t>
      </w:r>
    </w:p>
    <w:p>
      <w:r>
        <w:t>Par surabondance, la cour cantonale a relevé, s'agissant de la seconde condition posée par la jurisprudence, que les experts avaient répondu par la négative à la question de savoir si le traitement ambulatoire serait entravé dans son application ou si ses chances de succès seraient notablement amoindries par l'exécution d'une peine privative de liberté. Partant, l'exécution de la peine privative de liberté combinée avec un traitement ambulatoire n'apparaissait pas incompatible. Le fait que l'intéressé semblait bénéficier du suivi mis en place qu'il investissait de manière positive, qu'un tel suivi soit indiqué sur le plan psychiatrique selon les experts, et que le recourant appelait de ses voeux la poursuite de son suivi à G.________ ne permettait pas non plus de retenir que la peine privative de liberté entraverait sérieusement les perspectives de succès du traitement ambulatoire. Ce d'autant que le recourant avait systématiquement mis en échec les très nombreuses modalités d'exécution de sa mesure thérapeutique institutionnelle mises en place par le passé, et ce, malgré des débuts encourageants. On ne pouvait ainsi pas retenir que les perspectives de succès de la poursuite du traitement ambulatoire hors de la prison, y compris dans une structure telle que G.________, soient particulièrement élevées. La cour cantonale a donc conclu qu'il n'y avait pas lieu de suspendre l'exécution de la peine du recourant au profit du traitement ambulatoire ordonné.</w:t>
      </w:r>
    </w:p>
    <w:p>
      <w:r>
        <w:rPr>
          <w:b/>
        </w:rPr>
        <w:t>E. 2.3</w:t>
      </w:r>
    </w:p>
    <w:p>
      <w:r>
        <w:t>Le recourant conteste l'argumentation de la cour cantonale quant à sa dangerosité, en relevant que, dans le cadre du dispositif autour de l'appartement protégé en place depuis 2021, le risque de récidive est contenu et qu'il n'a d'ailleurs commis aucune infraction depuis lors. Ce faisant, il oppose essentiellement sa propre appréciation à celle des experts et de la cour cantonale sans démontrer en quoi celle-ci serait arbitraire. En tout état, force est de constater, en l'espèce, que le rapport d'expertise retient un risque de récidive modéré d'actes de violence, que le recourant a commis de multiples infractions par le passé et qu'il ressort des faits du jugement attaqué une absence de reconnaissance des faits par l'intéressé. On relèvera encore que le recourant se trouvait déjà dans l'appartement protégé au moment où le rapport d'expertise a été rendu avec ses conclusions s'agissant du risque de récidive et que le fait qu'il n'ait pas commis d'infraction depuis 2021 n'apparaît pas décisif, étant rappelé qu'il ressort du jugement attaqué qu'il est en détention depuis fin novembre 2022.</w:t>
      </w:r>
    </w:p>
    <w:p>
      <w:r>
        <w:t>Par ailleurs, quoi qu'en dise le recourant, ainsi que cela ressort du jugement attaqué, les experts ont clairement indiqué que le traitement pouvait se poursuivre dans le cadre de l'exécution de la peine. Les éléments invoqués ne permettent pas de conclure que la cour cantonale aurait versé dans l'arbitraire en se ralliant aux conclusions de l'expertise judiciaire à cet égard.</w:t>
      </w:r>
    </w:p>
    <w:p>
      <w:r>
        <w:t>Le recourant semble d'ailleurs perdre de vue que, compte tenu du fait qu'il a été condamné à une peine d'une durée de cinq ans, son besoin de traitement doit être d'autant plus marqué pour qu'une suspension soit envisageable (cf.</w:t>
      </w:r>
    </w:p>
    <w:p>
      <w:r>
        <w:t>supra consid. 2.1). Dans son recours, le recourant se réfère au rapport d'expertise et au rapport de son médecin traitant pour faire valoir qu'il semble avoir bénéficié du cadre que procure un appartement protégé, qu'il était compliant à son traitement psychiatrique ambulatoire intégré, dans lequel il s'investissait de manière positive, et que la situation a été considérée par son médecin comme avoir cliniquement été "au plus stable depuis le mois de mai 2021". Ces éléments ne permettent toutefois pas de retenir que les perspectives de succès du traitement seraient considérablement compromises par l'exécution de la peine privative de liberté (cf. arrêt 6B_1150/2014 du 19 novembre 2015 consid. 3.2.2), étant rappelé que l'octroi de la suspension ne doit pas servir à contourner l'exécution de la peine (cf. ATF 129 IV 161 consid. 4.1, cf. aussi QUELOZ/ZERMATTEN,</w:t>
      </w:r>
    </w:p>
    <w:p>
      <w:r>
        <w:t>op. cit. , 2021, n° 27 ad art. 63 CP ).</w:t>
      </w:r>
    </w:p>
    <w:p>
      <w:r>
        <w:rPr>
          <w:b/>
        </w:rPr>
        <w:t>E. 2.4</w:t>
      </w:r>
    </w:p>
    <w:p>
      <w:r>
        <w:t>Compte tenu notamment de la longue durée de la peine privative de liberté prononcée, du risque de récidive que présente le recourant pour des actes de violence et de la réponse clairement négative des experts à la question de savoir si les chances de succès de la mesure seraient notablement amoindries par l'exécution d'une peine privative de liberté, la cour cantonale n'a pas violé le droit fédéral en refusant de suspendre l'exécution de la peine privative de liberté.</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