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6B_971/2021 vom 8. Oktober 2021</w:t>
      </w:r>
    </w:p>
    <w:p>
      <w:r>
        <w:t>Bundesgericht, 2021-10-08, DE</w:t>
      </w:r>
    </w:p>
    <w:p>
      <w:r>
        <w:rPr>
          <w:b/>
        </w:rPr>
        <w:t xml:space="preserve">Quelle: </w:t>
      </w:r>
      <w:r>
        <w:t>https://mcp.opencaselaw.ch/entscheid/bger_6B_971_2021</w:t>
      </w:r>
    </w:p>
    <w:p>
      <w:r>
        <w:t>FR: TF 6B_971/2021 du 8 octobre 2021</w:t>
      </w:r>
    </w:p>
    <w:p>
      <w:r>
        <w:t>IT: TF 6B_971/2021 del 8 ottobre 2021</w:t>
      </w:r>
    </w:p>
    <w:p>
      <w:pPr>
        <w:pStyle w:val="Heading2"/>
      </w:pPr>
      <w:r>
        <w:t>Erwägungen</w:t>
      </w:r>
    </w:p>
    <w:p>
      <w:r>
        <w:rPr>
          <w:b/>
        </w:rPr>
        <w:t>E. 1.1</w:t>
      </w:r>
    </w:p>
    <w:p>
      <w:r>
        <w:t>Der Beschwerdeführer wendet sich gegen die Verurteilung wegen Diebstahls zum Nachteil des Beschwerdegegners 2. Zusammengefasst rügt er, die vorinstanzlichen Sachverhaltsfeststellungen seien hinsichtlich des Deliktsdatums, der Deliktssumme, des Vorhandenseins des Geldes und der Würdigung der Aussagen des Beschwerdegegners 2 willkürlich. Der Beschwerdeführer bringt vor, er habe stets beteuert, nur Lebensmittel gestohlen zu haben. Gegenteiliges sei nicht erstellt. Die Aussagen des Beschwerdegegners 2 seien widersprüchlich, unglaubwürdig und einseitig, und dieser habe ein immanentes eigenes Interesse an der Bestätigung seiner Version des angezeigten Diebstahls. Die Vorinstanz hätte offensichtlich zum Ergebnis gelangen müssen, dass der Sachverhalt hinsichtlich des angeblichen Diebstahls vom 25. September 2018 nicht hinreichend erstellt sei. Sie lasse wesentliche Aspekte, die für die Unschuld des Beschwerdeführers sprächen, ausser Acht, und gehe entlastenden Umständen wie dem allfälligen anderweitigen Abhandenkommen des Geldes nicht nach. Damit verletze sie den Grundsatz «in dubio pro reo» sowie den Untersuchungsgrundsatz.</w:t>
      </w:r>
    </w:p>
    <w:p>
      <w:r>
        <w:rPr>
          <w:b/>
        </w:rPr>
        <w:t>E. 1.2</w:t>
      </w:r>
    </w:p>
    <w:p>
      <w:r>
        <w:t>Die Vorinstanz führt zusammengefasst aus, der Beschwerdeführer stelle nicht in Abrede, insgesamt dreimal in die Räumlichkeiten des «C.________ Imbiss» eingedrungen zu sein. Es sei erstellt, dass der Beschwerdeführer beim dritten Vorfall gezielt genau jene Schublade durchsucht habe, in welcher sich die Portemonnaies befunden hätten. Dass er in dieser ungekühlten Schublade nach Lebensmitteln gesucht habe, sei eine Schutzbehauptung, zumal es sich dabei offensichtlich nicht um einen Aufbewahrungsort für Lebensmittel und Getränke gehandelt habe. Die Ausführungen des Beschwerdegegners 2 seien hingegen glaubhaft, im Kerngehalt insgesamt konstant, nachvollziehbar und schlüssig. Sowohl hinsichtlich der Frage, ob überhaupt Geld entwendet worden sei, als auch bezüglich der Täterschaft habe der Beschwerdegegner 2 sehr glaubhaft ausgesagt. Die Höhe der Deliktssumme sei mit einem ausbezahlten Darlehen plausibel erklärt und mit einem Darlehensvertrag und einer dazugehörigen Rechnung belegt. Zu berücksichtigen sei zudem, dass der Beschwerdeführer seine damalige erhebliche Drogenabhängigkeit mit seinem legalen Einkommen nicht habe finanzieren können.</w:t>
      </w:r>
    </w:p>
    <w:p>
      <w:r>
        <w:rPr>
          <w:b/>
        </w:rPr>
        <w:t>E. 1.3</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Der vorinstanzliche Entscheid muss nicht nur in der Begründung, sondern auch im Ergebnis willkürlich sein ( BGE 146 IV 88 E. 1.3.1;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t>Dem Grundsatz "in dubio pro reo" kommt in seiner Funktion als Beweiswürdigungsregel im Verfahren vor Bundesgericht keine über das Willkürverbot hinausgehende Bedeutung zu ( BGE 145 IV 154 E. 1.1; 144 IV 345 E. 2.2.3.3; je mit Hinweisen).</w:t>
      </w:r>
    </w:p>
    <w:p>
      <w:r>
        <w:rPr>
          <w:b/>
        </w:rPr>
        <w:t>E. 1.4</w:t>
      </w:r>
    </w:p>
    <w:p>
      <w:r>
        <w:t>Die Vorinstanz würdigt die vorhandenen Beweismittel sorgfältig. Sie geht insbesondere ausführlich auf die Aussagen des Beschwerdegegners 2 ein, welcher an der Berufungsverhandlung erneut einlässlich einvernommen wurde. Mit den beanstandeten Widersprüchen in seinen Aussagen setzt sich die Vorinstanz auseinander. Sie stuft diese als nebensächlich ein und geht davon aus, dass sie die Aussagen des Beschwerdegegners 2 hinsichtlich des Diebstahls und der Täterschaft nicht als unglaubhaft erscheinen lassen. Dadurch verfällt die Vorinstanz nicht in Willkür. Weder die Vorbringen des Beschwerdeführers zum Deliktszeitpunkt noch diejenigen zur Deliktssumme sind dazu geeignet, die vorinstanzlichen Erwägungen als willkürlich darzustellen. Inwiefern sich der Vorinstanz hätten Zweifel aufdrängen müssen, wie es der Beschwerdeführer vorbringt, ist nicht nachvollziehbar. Seine Ausführungen, wonach es als absolut unglaubwürdig anzusehen sei, dass der Beschwerdegegner 2 derart hohe Barbeträge in seinem Imbiss einlagerte, sind weitgehend als appellatorische Kritik zurückzuweisen. Der Beschwerdeführer beschränkt sich darauf, seine eigene Sicht der Dinge darzulegen und eigene, unbelegte Hypothesen über die Geschäfte des Beschwerdegegners 2 vorzunehmen. Für die Annahme von Willkür genügt es jedoch nicht, dass eine andere Lösung ebenfalls möglich erscheint (vgl. E. 1.3 oben). Eine schlechterdings unhaltbare Beweiswürdigung, ein klarer Widerspruch zur tatsächlichen Situation oder ein offenkundiger Fehler sind nicht ersichtlich. Sodann ist auch nicht zu beanstanden, wenn die Vorinstanz die Vorbringen des Beschwerdeführers bezüglich weiterer denkbarer Varianten des Abhandenkommens des Geldes als reine Spekulationen einstuft. Der vorinstanzliche Schuldspruch wegen Diebstahls zulasten des Beschwerdegegners 2 verletzt kein Bundesrecht. Die Rügen des Beschwerdeführers erweisen sich insgesamt als unbegründet, soweit darauf eingetreten werden kann.</w:t>
      </w:r>
    </w:p>
    <w:p>
      <w:r>
        <w:rPr>
          <w:b/>
        </w:rPr>
        <w:t>E. 2</w:t>
      </w:r>
    </w:p>
    <w:p>
      <w:r>
        <w:t>Der Beschwerdeführer begründet seine weiteren Anträge in Bezug auf das Strafmass, die Landesverweisung und die Kostenverteilung ausdrücklich nur mit dem beantragten Freispruch vom Vorwurf des Diebstahls. Da die Beschwerde in diesem Punkt abzuweisen ist, erübrigt sich eine nähere Betrachtung der weiteren Anträge, auf welche mangels Begründung ( Art. 42 Abs. 2 BGG ) nicht einzutreten ist.</w:t>
      </w:r>
    </w:p>
    <w:p>
      <w:r>
        <w:rPr>
          <w:b/>
        </w:rPr>
        <w:t>E. 3</w:t>
      </w:r>
    </w:p>
    <w:p>
      <w:r>
        <w:t>Die Beschwerde ist abzuweisen, soweit darauf eingetreten werden kann.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