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6B_971/2019 vom 7. Februar 2020</w:t>
      </w:r>
    </w:p>
    <w:p>
      <w:r>
        <w:t>Bundesgericht, 2020-02-07, DE</w:t>
      </w:r>
    </w:p>
    <w:p>
      <w:r>
        <w:rPr>
          <w:b/>
        </w:rPr>
        <w:t xml:space="preserve">Quelle: </w:t>
      </w:r>
      <w:r>
        <w:t>https://mcp.opencaselaw.ch/entscheid/bger_6B_971_2019</w:t>
      </w:r>
    </w:p>
    <w:p>
      <w:r>
        <w:t>FR: TF 6B_971/2019 du 7 février 2020</w:t>
      </w:r>
    </w:p>
    <w:p>
      <w:r>
        <w:t>IT: TF 6B_971/2019 del 7 febbraio 2020</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Der Beschwerdeführer macht geltend, der angefochtene Entscheid wirke sich ohne Weiteres auf seine Zivilansprüche aus, namentlich Schadenersatz für psychotherapeutische Behandlungen sowie Genugtuungsansprüche (Beschwerde S. 5 Ziff. 6). Dies genügt für die Begründung der Beschwerdelegitimation im Sinne von Art. 81 Abs. 1 lit. b Ziff. 5 BGG nicht. Der Beschwerdeführer belegt die Kosten für psychotherapeutische Behandlungen nicht und begründet sie auch nicht näher. Eine diesbezüglich vertieftere Erörterung wäre aber auch deshalb erforderlich gewesen, weil der Zusammenhang dieser geltend gemachten Schadenersatzforderung mit dem vorliegenden Verfahren, insbesondere auch angesichts des gegen den Beschwerdeführer geführten und mittlerweilen rechtskräftig erledigten Verfahrens, nicht auf der Hand liegt. Den von ihm zum Gesuch um unentgeltliche Rechtspflege eingereichten Unterlagen ist zu entnehmen, dass die Erstkonsultation der Psychiatrischen Dienste Aargau AG am 11. Dezember 2018 und die Beendigung der Therapie am 15. Mai 2019 (Diagnose der Anpassungsstörung mit einer längeren depressiven Reaktion) erfolgten (act. 2/5), während die Beschwerdegegnerin 2 den Beschwerdeführer schon am 19. August 2015 unter anderem wegen Vergewaltigung anzeigte, der Beschwerdeführer seinerseits am 21. August 2015 Strafanzeige gegen sie erstattete und in der Folge das aufgrund der angeblich falschen Anschuldigung der Beschwerdegegnerin 2 gegen den Beschwerdeführer geführte Verfahren bereits mit Urteil vom 7. Mai 2018 rechtskräftig endete. Hinsichtlich der vom Beschwerdeführer behaupteten Genugtuungsansprüche ist festzuhalten, dass Genugtuungsforderungen aus Persönlichkeitsverletzung nur bestehen, sofern die Schwere der Verletzung es rechtfertigt (vgl. Art. 49 Abs. 1 OR ). Der Eingriff muss aussergewöhnlich schwer sein und in seinen Auswirkungen das Mass einer Aufregung oder einer alltäglichen Sorge klar übersteigen (so etwa Urteile 6B_96/2019 vom 7. Juni 2019 E. 1.2; 6B_798/2018 vom 14. November 2018 E. 4; 6B_555/2017 vom 29. September 2017 E. 3.2; je mit Hinweisen). Leichte Persönlichkeitsverletzungen, wie beispielsweise unbedeutende Ehrverletzungen, rechtfertigen keine finanzielle Genugtuung. Inwiefern die Persönlichkeitsverletzung objektiv und subjektiv schwer wiegt, ist in der Beschwerde an das Bundesgericht darzulegen ( BGE 129 III 715 E. 4.4 S. 725; Urteile 6B_495/2017 vom 26. Juli 2017 E. 1.2; 6B_995/2016 vom 14. März 2017 E. 3.1; je mit Hinweisen). Dies gilt auch hinsichtlich des vom Beschwerdeführer als erfüllt erachteten Tatbestands der falschen Anschuldigung. Art. 303 Ziff. 1 StGB schützt in erster Linie die Zuverlässigkeit der Rechtspflege, darüber hinaus aber auch die Persönlichkeitsrechte von zu Unrecht angeschuldigten Personen mit Bezug auf deren Ehre, Freiheit, Privatsphäre, Vermögen usw. ( BGE 136 IV 170 E. 2.1 S. 175 f.; 132 IV 20 E. 4.1 S. 25; je mit Hinweis). In wiefern die angebliche Persönlichkeitsverletzung objektiv und subjektiv derart schwer wiegen soll, dass sie eine Genugtuung rechtfertigt, legt der Beschwerdeführer nicht dar. Dass die behauptete Persönlichkeitsverletzung die erforderliche Schwere erreicht haben soll, ist auch nicht offensichtlich. Die Beschwerde genügt diesbezüglich den Begründungsanforderungen nicht. Der Beschwerdeführer ist in der Sache nicht zur Beschwerde legitimiert.</w:t>
      </w:r>
    </w:p>
    <w:p>
      <w:r>
        <w:t>Verletzung von Verfahrensrechten, deren Missachtung eine formelle Rechtsverweigerung darstellen, sind nicht gerügt ("Star-Praxis"; BGE 141 IV 1 E. 1.1 S. 5; 138 IV 248 E. 2 S. 250; je mit Hinweisen).</w:t>
      </w:r>
    </w:p>
    <w:p>
      <w:r>
        <w:rPr>
          <w:b/>
        </w:rPr>
        <w:t>E. 2</w:t>
      </w:r>
    </w:p>
    <w:p>
      <w:r>
        <w:t>Auf die Beschwerde ist nicht einzutreten. Ausgangsgemäss trägt der Beschwerdeführer die Gerichtskosten, zumal sein Gesuch um unentgeltliche Rechtspflege infolge Aussichtslosigkeit abzuweisen ist. Seinen finanziellen Verhältnissen ist bei der Kostenbemessung Rechnung zu tragen ( Art. 64 Abs. 1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