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6B_970/2014 vom 2. April 2015</w:t>
      </w:r>
    </w:p>
    <w:p>
      <w:r>
        <w:t>Bundesgericht, 2015-04-02, FR</w:t>
      </w:r>
    </w:p>
    <w:p>
      <w:r>
        <w:rPr>
          <w:b/>
        </w:rPr>
        <w:t xml:space="preserve">Quelle: </w:t>
      </w:r>
      <w:r>
        <w:t>https://mcp.opencaselaw.ch/entscheid/bger_6B_970_2014</w:t>
      </w:r>
    </w:p>
    <w:p>
      <w:r>
        <w:t>FR: TF 6B_970/2014 du 2 avril 2015</w:t>
      </w:r>
    </w:p>
    <w:p>
      <w:r>
        <w:t>IT: TF 6B_970/2014 del 2 aprile 2015</w:t>
      </w:r>
    </w:p>
    <w:p>
      <w:pPr>
        <w:pStyle w:val="Heading2"/>
      </w:pPr>
      <w:r>
        <w:t>Erwägungen</w:t>
      </w:r>
    </w:p>
    <w:p>
      <w:r>
        <w:rPr>
          <w:b/>
        </w:rPr>
        <w:t>E. 1</w:t>
      </w:r>
    </w:p>
    <w:p>
      <w:r>
        <w:t>Le recourant conteste avoir agi tardivement, pour le motif que l'ordonnance pénale, qui lui a été notifiée le 31 janvier 2014, ne comportait pas la seconde page qui indiquait le délai de dix jours pour former opposition. Il était ainsi fondé à croire que le délai de recours était un délai ordinaire de trente jours.</w:t>
      </w:r>
    </w:p>
    <w:p>
      <w:r>
        <w:rPr>
          <w:b/>
        </w:rPr>
        <w:t>E. 1.1</w:t>
      </w:r>
    </w:p>
    <w:p>
      <w:r>
        <w:t>Selon une jurisprudence constante, lorsque la preuve de la notification d'un envoi a été apportée, il est présumé que l'envoi contenait effectivement l'acte litigieux; ce n'est que lorsqu'il existe des indices concrets de nature à faire naître des doutes à ce sujet que la présomption est renversée ( ATF 124 V 400 consid. 2c p. 402 s.).</w:t>
      </w:r>
    </w:p>
    <w:p>
      <w:r>
        <w:rPr>
          <w:b/>
        </w:rPr>
        <w:t>E. 1.2</w:t>
      </w:r>
    </w:p>
    <w:p>
      <w:r>
        <w:t>Après avoir constaté que la copie de l'ordonnance pénale figurant au dossier (pièce 12-13 dossier cantonal) comprenait bien deux pages, la seconde étant du reste visée pour approbation par le premier procureur, l'autorité cantonale a retenu que le recourant ne fournissait aucun indice concret étayant son affirmation. En conséquence, la présomption que l'envoi, qui lui avait été notifié le 31 janvier 2014, contenait l'ordonnance pénale dans son intégralité ne saurait être tenue pour renversée.</w:t>
      </w:r>
    </w:p>
    <w:p>
      <w:r>
        <w:t>Ce raisonnement est en tous points conforme au droit fédéral. C'est en vain que le recourant persiste à soutenir qu'il n'a reçu notification que de la première page de l'ordonnance pénale querellée sans avancer le moindre indice susceptible de faire naître des doutes quant au contenu de l'envoi. Le grief est rejeté dans la faible mesure de sa recevabilité.</w:t>
      </w:r>
    </w:p>
    <w:p>
      <w:r>
        <w:t>Cela suffit à sceller le sort du recours, sans qu'il soit besoin de se prononcer sur les griefs du recourant dirigés contre la motivation subsidiaire de la juridiction précédente qui confirme le bien-fondé de la condamnation.</w:t>
      </w:r>
    </w:p>
    <w:p>
      <w:r>
        <w:rPr>
          <w:b/>
        </w:rPr>
        <w:t>E. 2</w:t>
      </w:r>
    </w:p>
    <w:p>
      <w:r>
        <w:t>En conclusion, le recours doit être rejeté dans la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