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6B_969/2009 vom 25. Januar 2010</w:t>
      </w:r>
    </w:p>
    <w:p>
      <w:r>
        <w:t>Bundesgericht, 2010-01-25, FR</w:t>
      </w:r>
    </w:p>
    <w:p>
      <w:r>
        <w:rPr>
          <w:b/>
        </w:rPr>
        <w:t xml:space="preserve">Quelle: </w:t>
      </w:r>
      <w:r>
        <w:t>https://mcp.opencaselaw.ch/entscheid/bger_6B_969_2009</w:t>
      </w:r>
    </w:p>
    <w:p>
      <w:r>
        <w:t>FR: TF 6B_969/2009 du 25 janvier 2010</w:t>
      </w:r>
    </w:p>
    <w:p>
      <w:r>
        <w:t>IT: TF 6B_969/2009 del 25 gennaio 2010</w:t>
      </w:r>
    </w:p>
    <w:p>
      <w:pPr>
        <w:pStyle w:val="Heading2"/>
      </w:pPr>
      <w:r>
        <w:t>Erwägungen</w:t>
      </w:r>
    </w:p>
    <w:p>
      <w:r>
        <w:rPr>
          <w:b/>
        </w:rPr>
        <w:t>E. 1</w:t>
      </w:r>
    </w:p>
    <w:p>
      <w:r>
        <w:t>Les recourants invoquent une violation de l' art. 262 CP , dont ils ne contestent pas que seul le chiffre 1 al. 3 entre en considération en l'espèce. Ils soutiennent que le comportement reproché aux intimés peut aussi s'analyser comme une action, mais que, même considéré comme une omission, il est en l'occurrence punissable, dans la mesure où les intimés avaient une obligation juridique d'agir et doivent en tout cas se voir reprocher un manque de professionnalisme.</w:t>
      </w:r>
    </w:p>
    <w:p>
      <w:r>
        <w:rPr>
          <w:b/>
        </w:rPr>
        <w:t>E. 1.1</w:t>
      </w:r>
    </w:p>
    <w:p>
      <w:r>
        <w:t>L' art. 262 ch. 1 al. 3 CP réprime notamment la profanation d'un cadavre humain. Le comportement délictueux consiste à exercer sur le corps d'une personne décédée une action physique, se caractérisant par le mépris et l'irrespect. Ainsi, se rend coupable de profanation, celui qui inflige un mauvais traitement à une dépouille, la détrousse, la mutile ou effectue à son encontre tout autre geste de mépris ou de dépréciation. Les interventions qui poursuivent un but légitime, telles qu'une autopsie ou un prélèvement d'organe contre la volonté du défunt ou de ses proches, ne tombent en revanche pas sous le coup de la loi pénale, à moins que la manière de les pratiquer ne dénote un manque de respect, par exemple du fait que l'auteur a enlaidi ou défiguré inutilement le cadavre, ou ne procède d'un manque de professionnalisme ( ATF 129 IV 172 consid. 2.1 p. 173 et les références citées).</w:t>
      </w:r>
    </w:p>
    <w:p>
      <w:r>
        <w:t>L'infraction sanctionnée par l' art. 262 CP est une infraction de résultat, qui est consommée par l'atteinte portée au bien juridique protégé par cette disposition, soit au sentiment de piété à l'égard du mort et de ses proches (cf. ATF 127 I 115 consid. 4a et b p. 119/120 et consid. 6a p. 122). Elle suppose en règle générale un comportement actif. Selon l' art. 11 al. 1 CP , un crime ou un délit peut toutefois aussi être commis par un comportement passif contraire à une obligation d'agir. Tel est le cas, d'après l'alinéa 2 de cette disposition, lorsque l'auteur n'empêche pas la mise en danger ou la lésion du bien juridique protégé, bien qu'il y soit tenu à raison de sa situation juridique, notamment en vertu de la loi, d'un contrat, d'une communauté de risques ou de la création d'un risque.</w:t>
      </w:r>
    </w:p>
    <w:p>
      <w:r>
        <w:t>Sur le plan subjectif, l' art. 262 ch. 1 al. 3 CP exige un comportement intentionnel, le dol éventuel étant toutefois suffisant ( ATF 129 IV 172 consid. 2.1 p. 173). Il faut donc que l'auteur ait, à tout le moins, envisagé que le résultat dommageable puisse survenir, mais ait néanmoins agi, montrant par là qu'il s'en accommodait pour le cas où il se produirait, même s'il ne le souhaitait pas ( ATF 135 IV 152 consid. 2.3.2 p. 156; 133 IV 9 consid. 4.1 p. 16; 131 IV 1 consid. 2.2 p. 4 et les arrêts cités).</w:t>
      </w:r>
    </w:p>
    <w:p>
      <w:r>
        <w:rPr>
          <w:b/>
        </w:rPr>
        <w:t>E. 1.2</w:t>
      </w:r>
    </w:p>
    <w:p>
      <w:r>
        <w:t>Les recourants allèguent vainement que les intimés, en procédant à la levée du corps, en transportant la dépouille au centre funéraire et en la prenant en charge jusqu'à son transfert dans le canton de Vaud, ont adopté un comportement actif. Il n'est aucunement établi, ni d'ailleurs allégué, que par ces actes, notamment par la manière de les accomplir, les intimés auraient porté atteinte au bien juridique protégé. Ce dont il est fait grief à ces derniers - et les recourants l'admettent en définitive eux-mêmes - c'est de n'avoir pas procédé à une toilette mortuaire d'urgence, soit de n'avoir pas accompli un acte. C'est donc bien une omission qui est reprochée aux intimés.</w:t>
      </w:r>
    </w:p>
    <w:p>
      <w:r>
        <w:rPr>
          <w:b/>
        </w:rPr>
        <w:t>E. 1.3</w:t>
      </w:r>
    </w:p>
    <w:p>
      <w:r>
        <w:t>La décision attaquée ne nie pas qu'aucune toilette mortuaire n'a été pratiquée par les intimés et que, lors de son arrivée à Lausanne, plus de deux jours après l'accident, le corps de la défunte baignait dans son sang, au point qu'une partie de ce dernier débordait du linceul. Le fait de laisser le corps, manifestement très abîmé, d'une personne décédée à la suite d'un accident de montagne dans un tel état, pendant quelque deux jours, alors qu'il n'existe pas ou plus de motif, tel qu'un ordre de l'autorité de ne pas toucher au corps, qui vienne justifier un tel comportement, dénote, si ce n'est du mépris, un grave manque de respect, lésant le sentiment de piété à l'égard du défunt et de ses proches. Il doit dès lors être considéré comme un acte de profanation au sens de l' art. 262 CP .</w:t>
      </w:r>
    </w:p>
    <w:p>
      <w:r>
        <w:rPr>
          <w:b/>
        </w:rPr>
        <w:t>E. 1.4</w:t>
      </w:r>
    </w:p>
    <w:p>
      <w:r>
        <w:t>Comme on l'a vu, un crime ou un délit peut aussi être commis par un comportement passif, lorsque l'auteur avait une obligation d'agir à raison de sa situation juridique (cf. supra, consid. 1.1). Le seul fait que l'auteur a agi par omission ne suffit donc pas à exclure la commission du crime ou du délit. Par conséquent, l'autorité cantonale ne pouvait, ainsi qu'elle l'a fait, confirmer le refus de suivre au seul motif que les intimés ne pouvaient se voir reprocher qu'une omission. En cela, la décision attaquée viole le droit fédéral.</w:t>
      </w:r>
    </w:p>
    <w:p>
      <w:r>
        <w:rPr>
          <w:b/>
        </w:rPr>
        <w:t>E. 1.5</w:t>
      </w:r>
    </w:p>
    <w:p>
      <w:r>
        <w:t>Le raisonnement erroné de l'autorité cantonale l'a conduite à ne pas examiner si les intimés avaient une obligation juridique d'accomplir l'acte qu'il leur est reproché d'avoir omis et d'empêcher ainsi la lésion du bien juridique protégé par l' art. 262 CP . Subséquemment, elle ne s'est pas non plus prononcée sur la question de savoir si, le cas échéant, les intimés pourraient se voir reprocher d'avoir agi intentionnellement, au moins par dol éventuel. Il n'est toutefois pas possible de trancher ici ces questions, dès lors que les constatations de fait nécessaires pour les élucider font défaut. Les recourants eux-mêmes admettent d'ailleurs que la décision attaquée, voire l'instruction, doit être complétée sur ces points.</w:t>
      </w:r>
    </w:p>
    <w:p>
      <w:r>
        <w:rPr>
          <w:b/>
        </w:rPr>
        <w:t>E. 1.6</w:t>
      </w:r>
    </w:p>
    <w:p>
      <w:r>
        <w:t>Sur le vu de ce qui précède, le recours doit être admis, la décision attaquée annulée et la cause renvoyée à l'autorité cantonale pour qu'elle statue à nouveau dans le sens des considérants. Il incombera notamment à cette dernière d'établir ou de faire établir les faits nécessaires pour déterminer si les conditions de l' art. 11 CP et l'élément subjectif de l'infraction en cause sont réalisés.</w:t>
      </w:r>
    </w:p>
    <w:p>
      <w:r>
        <w:rPr>
          <w:b/>
        </w:rPr>
        <w:t>E. 2</w:t>
      </w:r>
    </w:p>
    <w:p>
      <w:r>
        <w:t>Les intimés et le canton du Valais succombent. Les frais judiciaires, arrêtés à 2000 fr., seront donc mis pour la moitié, soit 1000 fr., à la charge des intimés, qui les supporteront conjointement ( art. 66 al. 1 et 5 LTF ), le canton du Valais étant dispensé de payer des frais ( art. 66 al. 4 LTF ). Les recourants, qui obtiennent gain de cause, peuvent prétendre à des dépens, d'un montant arrêté à 3000 fr., dont la moitié, soit 1500 fr., sera mise conjointement à la charge des intimés ( art. 68 al. 1 et 4 LTF ) et l'autre moitié à la charge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