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967/2013 vom 21. Februar 2014</w:t>
      </w:r>
    </w:p>
    <w:p>
      <w:r>
        <w:t>Bundesgericht, 2014-02-21, FR</w:t>
      </w:r>
    </w:p>
    <w:p>
      <w:r>
        <w:rPr>
          <w:b/>
        </w:rPr>
        <w:t xml:space="preserve">Quelle: </w:t>
      </w:r>
      <w:r>
        <w:t>https://mcp.opencaselaw.ch/entscheid/bger_6B_967_2013</w:t>
      </w:r>
    </w:p>
    <w:p>
      <w:r>
        <w:t>FR: TF 6B 967/2013 du 21 février 2014</w:t>
      </w:r>
    </w:p>
    <w:p>
      <w:r>
        <w:t>IT: TF 6B 967/2013 del 21 febbraio 2014</w:t>
      </w:r>
    </w:p>
    <w:p>
      <w:pPr>
        <w:pStyle w:val="Heading2"/>
      </w:pPr>
      <w:r>
        <w:t>Regeste</w:t>
      </w:r>
    </w:p>
    <w:p>
      <w:r>
        <w:t>Gestion déloyale; indemnité; principe in dubio pro reo | Infractions</w:t>
      </w:r>
    </w:p>
    <w:p>
      <w:pPr>
        <w:pStyle w:val="Heading2"/>
      </w:pPr>
      <w:r>
        <w:t>Erwägungen</w:t>
      </w:r>
    </w:p>
    <w:p>
      <w:r>
        <w:rPr>
          <w:b/>
        </w:rPr>
        <w:t>E. 1</w:t>
      </w:r>
    </w:p>
    <w:p>
      <w:r>
        <w:t>Le Tribunal fédéral a retenu l'escroquerie dans des situations où le calcul des commissions n'avait pas été clairement précisé ( ATF 135 IV 76 ; arrêt 6S.69/2005 du 22 juillet 2005). Dans le présent cas, il a été admis que les clients ont autorisé les recourants à exécuter les transactions sur des produits dérivés, à savoir des produits hautement spéculatifs, et qu'ils ont signé des documents qui expliquaient le calcul des commissions. Les clients n'ont donc été trompés ni sur le caractère spéculatif des opérations ni sur le calcul des commissions; c'est ainsi que le chef d'accusation d'escroquerie ( art. 146 CP ) a été abandonné. La cour cantonale reproche uniquement aux recourants de ne pas avoir adapté leur mode de commissionnement à l'évolution, notoirement défavorable dès 2007, voire peu avant, du cours de la bourse et d'avoir de la sorte prélevé des commissions disproportionnées par rapport au capital investi. Selon elle, ce comportement tombe sous le coup de la gestion déloyale ( art. 158 CP ).</w:t>
      </w:r>
    </w:p>
    <w:p>
      <w:r>
        <w:rPr>
          <w:b/>
        </w:rPr>
        <w:t>E. 2</w:t>
      </w:r>
    </w:p>
    <w:p>
      <w:r>
        <w:t>Les recourants s'en prennent, d'abord, à l'état de fait, qu'ils considèrent comme ayant été établi de manière manifestement inexact sur plusieurs points.</w:t>
      </w:r>
    </w:p>
    <w:p>
      <w:r>
        <w:rPr>
          <w:b/>
        </w:rPr>
        <w:t>E. 2.1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Les recourants font valoir que la cour cantonale est tombée dans l'arbitraire, dans la mesure où le jugement attaqué ne retiendrait pas clairement qu'ils proposaient aux clients des " strategy composites " et des " strategy profile ", stratégies qui indiquaient la perte et le profit potentiels réalisables ainsi que le coût de la stratégie, comprenant le montant des commissions. La cour cantonale a condamné les recourants pour gestion déloyale. Aucune tromperie ne leur est donc reprochée, celle-ci ne constituant pas un élément constitutif de la gestion déloyale. Il n'est donc pas pertinent de déterminer si les contrats étaient suffisamment explicites en matière de commission ou si les stratégies détaillaient suffisamment le système de commissionnement. Le grief soulevé est donc infondé.</w:t>
      </w:r>
    </w:p>
    <w:p>
      <w:r>
        <w:rPr>
          <w:b/>
        </w:rPr>
        <w:t>E. 2.3</w:t>
      </w:r>
    </w:p>
    <w:p>
      <w:r>
        <w:t>Les recourants reprochent à la cour cantonale d'avoir versé dans l'arbitraire, dans la mesure où le jugement ne constaterait pas que les contrats signés avec les clients mentionnaient que la commission est indépendante du succès ou de l'échec des transactions effectuées par la société pour le compte du client. Ce grief est infondé. En effet, la cour cantonale, reprenant les contrats et annexes, a mentionné que " cette commission diminue le potentiel de gain du client et augmente en conséquence son risque de perte " (jugement attaqué p. 15). Au demeurant, ce grief n'est pas pertinent, dans la mesure où il n'est pas reproché aux recourants d'avoir présenté le système de rétribution de manière opaque.</w:t>
      </w:r>
    </w:p>
    <w:p>
      <w:r>
        <w:rPr>
          <w:b/>
        </w:rPr>
        <w:t>E. 2.4</w:t>
      </w:r>
    </w:p>
    <w:p>
      <w:r>
        <w:t>Les recourants se plaignent d'arbitraire lorsque la cour cantonale ne retient pas que le broker adressait une confirmation de trade au client mentionnant le montant total de la commission prélevée pour l'opération. Ce grief est mal fondé. En effet, la cour cantonale a admis que les clients recevaient des décomptes (jugement attaqué p. 16).</w:t>
      </w:r>
    </w:p>
    <w:p>
      <w:r>
        <w:rPr>
          <w:b/>
        </w:rPr>
        <w:t>E. 2.5</w:t>
      </w:r>
    </w:p>
    <w:p>
      <w:r>
        <w:t>Les recourants reprochent à la cour cantonale de ne pas avoir retenu qu'il était extrêmement facile pour le client d'obtenir en tout temps et pour la période désirée le total des commissions prélevées grâce à une des fonctions du programme informatique utilisé par le broker . Ce grief tombe à faux dans la mesure où la cour cantonale a précisé que les clients pouvaient consulter l'état de leur compte en tout temps sur internet (jugement attaqué p. 16, 20 s.).</w:t>
      </w:r>
    </w:p>
    <w:p>
      <w:r>
        <w:rPr>
          <w:b/>
        </w:rPr>
        <w:t>E. 2.6</w:t>
      </w:r>
    </w:p>
    <w:p>
      <w:r>
        <w:t>Les recourants font grief à la cour cantonale de ne pas avoir retenu que le contrat prévoyait une commission de 25 % tous les six mois, pour autant que la contre valeur du compte soit en progression par rapport au semestre précédent. Là aussi, la critique est infondée, puisque la cour cantonale a fait référence à une commission sur l'éventuelle plus-value réalisée (jugement attaqué p. 15).</w:t>
      </w:r>
    </w:p>
    <w:p>
      <w:r>
        <w:rPr>
          <w:b/>
        </w:rPr>
        <w:t>E. 3</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w:t>
      </w:r>
    </w:p>
    <w:p>
      <w:r>
        <w:rPr>
          <w:b/>
        </w:rPr>
        <w:t>E. 3.1</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Le gérant de fortunes constitue un exemple type de gérant au sens de l' art. 158 CP ( ATF 120 IV 190 consid. 2b p. 193). La doctrine admet que l' introducing broker , à savoir l'intermédiaire entre le client investisseur et le gestionnaire ( broker ), revêt la qualité de gérant, même si les fonds à gérer ne passent pas par son intermédiaire, mais que celui-ci est habilité à donner des ordres d'achat ou de vente au broker pour le compte de l'investisseur (cf. DANIEL STOLL, Le mandat de l'introducing broker: un contrat " pénalement répréhensible " ?, Mélanges en l'honneur de François Dessemontet, 2009, p. 351 ss, p. 361). En l'espèce, les recourants étaient autorisés à exécuter toutes les transactions de produits financiers sur tous titres et avoirs du client déposés sur le compte, en son nom et pour son compte auprès d'un dépositaire. Ainsi, même si les fonds étaient déposés auprès d'un dépositaire, il n'est pas douteux que les recourants revêtaient la qualité de gérant.</w:t>
      </w:r>
    </w:p>
    <w:p>
      <w:r>
        <w:rPr>
          <w:b/>
        </w:rPr>
        <w:t>E. 3.2</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6B_223/2010 du 13 janvier 2011 consid. 3.3.2; arrêt 6B_446/2010 du 14 janvier 2010 consid. 8.4.1) .</w:t>
      </w:r>
    </w:p>
    <w:p>
      <w:r>
        <w:rPr>
          <w:b/>
        </w:rPr>
        <w:t>E. 3.2.1</w:t>
      </w:r>
    </w:p>
    <w:p>
      <w:r>
        <w:t>Les clients ont confié aux recourants la gestion de leur fortune, ou d'une partie de celle-ci. Il revenait aux recourants de décider tant de la stratégie de placement que de l'exécution de chaque opération en particulier. Il s'agit donc principalement de gestion de fortune, à laquelle s'appliquent les règles du mandat concernant les obligations de diligence et de fidélité ( art. 398 al. 2 CO ; cf. ATF 124 III 155 ). 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 churning " ou barattage. Un tel procédé, qui porte gravement atteinte aux intérêts du client, a été considéré comme tombant sous le coup de l' art. 158 CP (arrêt 4C.149/1998 du 28 juillet 1998, consid. 3b, in SJ 1999 I 126; arrêt 1A.247/1999 du 24 janvier 2000; cf. DANIEL STOLL, op. cit., p. 351 ss, spéc. 363). En l'espèce, il n'est certes pas établi que les recourants ont procédé à des multitudes d'opérations sans justification et il ne leur est donc pas reproché de s'être livrés à du barattage. Toutefois, du fait de la volatilité du marché, ils ont adapté leur stratégie régulièrement, ce qui a occasionné beaucoup d'opérations et il en est résulté des commissions disproportionnées par rapport au capital investi. Ainsi, dans les cas D.________, E.________, A.________, B.________ et C.________, les commissions ont atteint plus de 15 %, voire plus de 20 %; elles sont un peu moins excessives pour les cas F.________ et G.________, quoi qu'approchant dans ce dernier cas le montant de 10 %. Pour juger de la disproportion, il faut comparer le taux appliqué aux taux habituellement applicables qui se situent entre 0,3 à 1 % du capital investi ou entre 7 et 15 % des bénéfices (STOLL, op. cit., p. 361). Malgré l'impact désastreux du nombre d'opérations et de leurs coûts sur la masse à gérer, les recourants ont poursuivi leur stratégie, continuant à se payer, tout en s'accommodant des pertes pour leurs clients. Ils n'ont pas adapté le système de commissionnement qui, en cas de volatilité du marché, entraînait des commissions excessives et empêchait donc pratiquement toute fructification du capital, faisant ainsi passer leur propre intérêt avant celui du client. En suivant des stratégies de placement de courte durée sans tenir compte de l'augmentation significative des commissions en résultant, ils ont manqué à leur obligation de veiller aux intérêts de leurs clients, de sorte que leur comportement tombe sous le coup de la gestion déloyale. C'est en vain que les recourants font valoir qu'après chaque opération, le dépositaire envoyait au client une confirmation du trade, avec toutes les informations sur l'opération, notamment le montant des commissions prélevées. C'est également en vain qu'ils soutiennent que le client pouvait en tout temps aller consulter l'état de son compte sur internet. En effet, les conseillers ou intermédiaires en investissement qui sont spécialisés dans le négoce en bourse de produits dérivés sont soumis, à côté d'un devoir d'information, à un devoir de conseil et de mise en garde ( art. 398 al. 2 CO ; ATF 124 III 155 consid. 3a p. 162). Ces devoirs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 ALESSANDRO BIZZOZERO, Le contrat de gérance de fortune, Fribourg 1992, p. 105 s.). Il doit avertir le client si l'importance de la rémunération est telle qu'elle influe sur le résultat de la gestion ( CARLO LOMBARDINI, La protection de l'investisseur sur le marché financier, 2012, p. 727, n° 13 ad chap. XXXV; ATF 124 III 155 consid. 3a p. 163). Or, en l'espèce, l'envoi de décompte et la possibilité de consulter son compte sur internet ne suffisent pas à satisfaire à l'obligation de mise en garde et, partant, à disculper les recourants. En effet, même si les clients approuvaient les décomptes de chaque transaction, ils ne pouvaient saisir leur portée au regard de l'ensemble des opérations financières. Quant aux informations figurant sur internet, elles supposaient que le client prenne lui-même l'initiative de se renseigner. Pour satisfaire à leur obligation de mise en garde, les recourants auraient dû prendre contact eux-mêmes avec leurs clients pour les aviser de l'évolution défavorable de la situation, ce qu'ils n'ont pas fait.</w:t>
      </w:r>
    </w:p>
    <w:p>
      <w:r>
        <w:rPr>
          <w:b/>
        </w:rPr>
        <w:t>E. 3.3</w:t>
      </w:r>
    </w:p>
    <w:p>
      <w:r>
        <w:t>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Il n'est pas nécessaire que le dommage corresponde à l'enrichissement de l'auteur, ni qu'il soit chiffré; il suffit qu'il soit certain (arrêt 6B_986/2008 du 20 avril 2009, consid. 4.1). En l'espèce, le comportement des recourants a entraîné, pour les clients, une diminution du capital investi. Le dommage subi n'est pas dû aux pertes de la bourse ni à des opérations incohérentes ou injustifiées, mais au fait que les recourants n'ont pas adapté leur système de commissionnement à la volatilité du marché.</w:t>
      </w:r>
    </w:p>
    <w:p>
      <w:r>
        <w:rPr>
          <w:b/>
        </w:rPr>
        <w:t>E. 3.4</w:t>
      </w:r>
    </w:p>
    <w:p>
      <w:r>
        <w:t>Il faut enfin que l'auteur ait agi intentionnellement.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En l'espèce, les recourants savaient qu'ils agissaient en tant que gérant de fortune, et ils s'étaient rendu compte que leur stratégie, consistant à multiplier les opérations, avait pour effet secondaire l'augmentation des commissions, alors même que le capital diminuait. Ils ont néanmoins poursuivi dans cette voie, sans avertir les clients. Ils ont donc agi intentionnellement, au moins sous la forme du dol éventuel. La circonstance aggravante de l' art. 158 ch. 1 al. 3 CP est réalisée, dès lors que la stratégie des recourants leur a profité directement et à eux seuls.</w:t>
      </w:r>
    </w:p>
    <w:p>
      <w:r>
        <w:rPr>
          <w:b/>
        </w:rPr>
        <w:t>E. 3.5</w:t>
      </w:r>
    </w:p>
    <w:p>
      <w:r>
        <w:t>En conclusion, les éléments constitutifs de la gestion déloyale sont réalisés, et c'est à juste titre que la cour cantonale a condamné les recourants en application de l' art. 158 ch. 1 al. 3 CP .</w:t>
      </w:r>
    </w:p>
    <w:p>
      <w:r>
        <w:rPr>
          <w:b/>
        </w:rPr>
        <w:t>E. 3.6</w:t>
      </w:r>
    </w:p>
    <w:p>
      <w:r>
        <w:t>La conclusion des recourants tendant au versement d'une indemnité en cas d'acquittement ( art. 429 CP ) doit ainsi être rejetée.</w:t>
      </w:r>
    </w:p>
    <w:p>
      <w:r>
        <w:rPr>
          <w:b/>
        </w:rPr>
        <w:t>E. 4</w:t>
      </w:r>
    </w:p>
    <w:p>
      <w:r>
        <w:t>Le recours doit être rejeté. Les recourants, qui succombent, supporteront les frais de justice, à parts égales et solidairement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