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6B_965/2013 vom 3. Dezember 2013</w:t>
      </w:r>
    </w:p>
    <w:p>
      <w:r>
        <w:t>Bundesgericht, 2013-12-03, FR</w:t>
      </w:r>
    </w:p>
    <w:p>
      <w:r>
        <w:rPr>
          <w:b/>
        </w:rPr>
        <w:t xml:space="preserve">Quelle: </w:t>
      </w:r>
      <w:r>
        <w:t>https://mcp.opencaselaw.ch/entscheid/bger_6B_965_2013</w:t>
      </w:r>
    </w:p>
    <w:p>
      <w:r>
        <w:t>FR: TF 6B_965/2013 du 3 décembre 2013</w:t>
      </w:r>
    </w:p>
    <w:p>
      <w:r>
        <w:t>IT: TF 6B_965/2013 del 3 dicembre 2013</w:t>
      </w:r>
    </w:p>
    <w:p>
      <w:pPr>
        <w:pStyle w:val="Heading2"/>
      </w:pPr>
      <w:r>
        <w:t>Erwägungen</w:t>
      </w:r>
    </w:p>
    <w:p>
      <w:r>
        <w:rPr>
          <w:b/>
        </w:rPr>
        <w:t>E. 1</w:t>
      </w:r>
    </w:p>
    <w:p>
      <w:r>
        <w:t>La recourante s'en prend au refus de lui accorder un délai pour faire valoir ses prétentions au sens de l' art. 433 CPP . Indépendamment des conditions de l'art. 81 al. 1 let. b ch. 5 LTF, le refus opposé à la recourante est susceptible de constituer une violation de ses droits de partie (cf. ATF 136 IV 29 consid. 1.9 p. 40 et les références citées). Elle dispose ainsi de la qualité pour recourir.</w:t>
      </w:r>
    </w:p>
    <w:p>
      <w:r>
        <w:rPr>
          <w:b/>
        </w:rPr>
        <w:t>E. 2</w:t>
      </w:r>
    </w:p>
    <w:p>
      <w:r>
        <w:t>La recourante consacre plusieurs pages de son mémoire à un exposé des faits. Dans ce cadre, elle ne soulève aucun grief recevable au regard des art. 42 al. 2 et 106 al. 2 LTF.</w:t>
      </w:r>
    </w:p>
    <w:p>
      <w:r>
        <w:rPr>
          <w:b/>
        </w:rPr>
        <w:t>E. 3</w:t>
      </w:r>
    </w:p>
    <w:p>
      <w:r>
        <w:t>Se plaignant d'arbitraire et de formalisme excessif, la recourante invoque une violation de l' art. 433 CPP .</w:t>
      </w:r>
    </w:p>
    <w:p>
      <w:r>
        <w:rPr>
          <w:b/>
        </w:rPr>
        <w:t>E. 3.1</w:t>
      </w:r>
    </w:p>
    <w:p>
      <w:r>
        <w:t>L' art. 433 al. 1 CPP permet à la partie plaignante de demander au prévenu une juste indemnité pour les dépenses obligatoires occasionnées par la procédure lorsqu'elle obtient gain de cause (let. a) ou lorsque le prévenu est astreint au paiement des frais conformément à l' art. 426 al. 2 CPP (let. b). L'al. 2 prévoit que la partie plaignante adresse ses prétentions à l'autorité pénale; elle doit les chiffrer et les justifier. Si elle ne s'acquitte pas de cette obligation, l'autorité pénale n'entre pas en matière sur la demande.</w:t>
      </w:r>
    </w:p>
    <w:p>
      <w:r>
        <w:rPr>
          <w:b/>
        </w:rPr>
        <w:t>E. 3.1.1</w:t>
      </w:r>
    </w:p>
    <w:p>
      <w:r>
        <w:t>La partie plaignante obtient gain de cause au sens de l' art. 433 al. 1 CPP lorsque le prévenu est condamné et/ou si les prétentions civiles sont admises (cf. WEHRENBERG/BERNHARD, in Basler Kommentar, Schweizerische Strafprozessordnung, 2011, n° 6 ad art. 433 CPP ; NIKLAUS SCHMID, Schweizerische Strafprozessordnung, Praxiskommentar, 2</w:t>
      </w:r>
    </w:p>
    <w:p>
      <w:r>
        <w:t>e éd. 2013, n° 6 ad art. 433 CPP ). La juste indemnité, notion qui laisse un large pouvoir d'appréciation au juge, couvre les dépenses et les frais nécessaires pour faire valoir le point de vue de la partie plaignante dans la procédure pénale. Il s'agit en premier lieu des frais d'avocat de la partie plaignante (cf. MIZEL/RÉTORNAZ, in Commentaire romand, Code de procédure pénale suisse, 2011, nos 8 ss ad art. 433 CPP ; SCHMID, op. cit., n° 3 ad art. 433 CPP ).</w:t>
      </w:r>
    </w:p>
    <w:p>
      <w:r>
        <w:rPr>
          <w:b/>
        </w:rPr>
        <w:t>E. 3.1.2</w:t>
      </w:r>
    </w:p>
    <w:p>
      <w:r>
        <w:t>L' art. 433 al. 2 CPP , qui impose au plaignant de chiffrer et de justifier ses prétentions, s'explique par le fait que la maxime d'instruction ne s'applique pas à l'égard de la partie plaignante: celle-ci doit demeurer active et demander elle-même une indemnisation, sous peine de péremption (cf. WEHRENBERG/BERNHARD, op. cit., n° 12 ad art. 433 CPP ; SCHMID, op. cit., nos 9 et 10 ad art. 433 CPP ; MIZEL/RÉTORNAZ, op. cit., n° 13 ad art. 433 CPP ). Conformément à l' art. 81 al. 4 let. b CPP ,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(cf. MIZEL/RÉTORNAZ, op. cit., n° 13 ad art. 433 CPP ).</w:t>
      </w:r>
    </w:p>
    <w:p>
      <w:r>
        <w:rPr>
          <w:b/>
        </w:rPr>
        <w:t>E. 3.2</w:t>
      </w:r>
    </w:p>
    <w:p>
      <w:r>
        <w:t>La cour cantonale a exposé que la recourante connaissait avant la fin des débats de première instance les frais relatifs aux honoraires de son avocat; que le tribunal de première instance avait rendu attentif son avocat lors des débats que les prétentions en remboursement des frais et honoraires d'avocat selon l' art. 433 CPP devaient être adressées et chiffrées avant la clôture de la procédure probatoire, sous peine de forclusion; qu'il n'était pas déterminant de savoir si la recourante allait obtenir gain de cause pour qu'elle articule ses prétentions; qu'il n'existait pas d'inégalité de traitement avec le prévenu qui avait obtenu un délai pour ses prétentions selon l' art. 429 CPP , la maxime d'instruction prévalant dans ce cas; que le tribunal de première instance avait à juste titre considéré que les prétentions de la recourante selon l' art. 433 CPP étaient périmées faute d'avoir été présentées à temps (cf. arrêt p. 8).</w:t>
      </w:r>
    </w:p>
    <w:p>
      <w:r>
        <w:rPr>
          <w:b/>
        </w:rPr>
        <w:t>E. 3.3</w:t>
      </w:r>
    </w:p>
    <w:p>
      <w:r>
        <w:t>Lorsque la cause fait, comme en l'espèce, l'objet d'une procédure de première instance (Titre 7, art. 328 ss CPP ), il résulte du régime légal (cf. supra consid. 3.1.2) que les prétentions selon l' art. 433 CPP doivent être soumises au juge avant la fin des débats de manière à ce que celui-ci puisse les traiter dans son jugement conformément à l' art. 81 al. 4 let. b CPP .</w:t>
      </w:r>
    </w:p>
    <w:p>
      <w:r>
        <w:rPr>
          <w:b/>
        </w:rPr>
        <w:t>E. 3.3.1</w:t>
      </w:r>
    </w:p>
    <w:p>
      <w:r>
        <w:t>Contrairement à ce qu'affirme la recourante, il n'y a rien d'insolite ou d'illogique d'exiger que la partie plaignante invoque l'allocation d'une indemnité jusqu'à la clôture des débats quand bien même l'action pénale n'est alors pas jugée. Le sort de l'action pénale ne l'empêche en effet pas d'articuler ses prétentions, en particulier ses frais d'avocat, et il incombe au juge d'examiner si la partie plaignante remplit les conditions d'allocation, notamment si elle a obtenu gain de cause au sens de l' art. 433 al. 1 CPP .</w:t>
      </w:r>
    </w:p>
    <w:p>
      <w:r>
        <w:rPr>
          <w:b/>
        </w:rPr>
        <w:t>E. 3.3.2</w:t>
      </w:r>
    </w:p>
    <w:p>
      <w:r>
        <w:t>Il résulte du régime légal que l'indemnité ne peut pas être requise en tout temps dans le cadre d'une procédure indépendante selon les art. 363 ss CPP . Elle doit être tranchée avec le jugement. La seule réserve évoquée en doctrine (supra consid. 3.1.2 in fine) est que le juge doit avoir rendu la partie plaignante attentive à son droit à l'indemnisation. Tel a bien été le cas en l'occurrence, la recourante ayant été avisée lors des débats qu'elle devait présenter et documenter ses prétentions jusqu'à la fin de ceux-ci, au risque d'être forclose. Elle ne pouvait donc pas se contenter comme elle l'a fait de solliciter un délai pour déposer ses prétentions dans l'hypothèse où le tribunal rendrait un verdict de culpabilité à l'encontre du prévenu. La solution cantonale ne procède d'aucun formalisme excessif dès lors qu'elle découle du système légal et que la recourante a expressément été avisée aux débats des conséquences auxquelles elle s'exposait. Le grief est infondé.</w:t>
      </w:r>
    </w:p>
    <w:p>
      <w:r>
        <w:rPr>
          <w:b/>
        </w:rPr>
        <w:t>E. 3.3.3</w:t>
      </w:r>
    </w:p>
    <w:p>
      <w:r>
        <w:t>La recourante relève que le tribunal de première instance a imparti au prévenu un délai de vingt jours pour faire valoir ses prétentions en indemnisation selon l' art. 429 CPP . Outre que l'indemnisation du prévenu libéré doit être examinée d'office ( art. 429 al. 2 CPP ), contrairement à l'indemnité de la partie plaignante (cf. supra consid. 3.1.2; arrêt 1B_475/2011 du 11 janvier 2012 consid. 2.2), ce qui est susceptible de justifier un traitement différencié, la recourante ne formule aucun grief recevable au regard des art. 42 al. 2 et 106 al. 2 LTF tiré d'une inégalité de traitement. Sa critique est irrecevable.</w:t>
      </w:r>
    </w:p>
    <w:p>
      <w:r>
        <w:rPr>
          <w:b/>
        </w:rPr>
        <w:t>E. 4</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