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963/2020 vom 24. Juni 2021</w:t>
      </w:r>
    </w:p>
    <w:p>
      <w:r>
        <w:t>Bundesgericht, 2021-06-24, DE</w:t>
      </w:r>
    </w:p>
    <w:p>
      <w:r>
        <w:rPr>
          <w:b/>
        </w:rPr>
        <w:t xml:space="preserve">Quelle: </w:t>
      </w:r>
      <w:r>
        <w:t>https://mcp.opencaselaw.ch/entscheid/bger_6B_963_2020</w:t>
      </w:r>
    </w:p>
    <w:p>
      <w:r>
        <w:t>FR: TF 6B 963/2020 du 24 juin 2021</w:t>
      </w:r>
    </w:p>
    <w:p>
      <w:r>
        <w:t>IT: TF 6B 963/2020 del 24 giugno 2021</w:t>
      </w:r>
    </w:p>
    <w:p>
      <w:pPr>
        <w:pStyle w:val="Heading2"/>
      </w:pPr>
      <w:r>
        <w:t>Regeste</w:t>
      </w:r>
    </w:p>
    <w:p>
      <w:r>
        <w:t>Teilbedingte Freiheitsstrafe; ambulante Behandlung | Strafrecht (allgemein)</w:t>
      </w:r>
    </w:p>
    <w:p>
      <w:pPr>
        <w:pStyle w:val="Heading2"/>
      </w:pPr>
      <w:r>
        <w:t>Erwägungen</w:t>
      </w:r>
    </w:p>
    <w:p>
      <w:r>
        <w:rPr>
          <w:b/>
        </w:rPr>
        <w:t>E. 1.1</w:t>
      </w:r>
    </w:p>
    <w:p>
      <w:r>
        <w:t>Die Beschwerdeführerin wendet sich gegen den Vollzug der Freiheitsstrafe. Die Vorinstanz habe ihr einen teilbedingten Vollzug nach Art. 43 aStGB zu Unrecht verweigert. Ihre Legalprognose könne insgesamt nicht als schlecht bezeichnet werden. Für die Anordnung der ambulanten Massnahme fehle es an einem Zusammenhang zwischen ihrer psychischen Störung und ihren Taten. Zudem fehle es an Erfolgsaussichten einer störungs- und deliktspezifischen Behandlung.</w:t>
      </w:r>
    </w:p>
    <w:p>
      <w:r>
        <w:rPr>
          <w:b/>
        </w:rPr>
        <w:t>E. 1.2.1</w:t>
      </w:r>
    </w:p>
    <w:p>
      <w:r>
        <w:t>Die Vorinstanz erwägt, der Beschwerdeführerin könne nicht darin gefolgt werden, dass ihr keine schlechte Prognose zu stellen sei. Dieser Standpunkt stehe in unverträglichem Widerspruch zu ihrem eigenen Antrag auf Anordnung einer ambulanten Massnahme, die eine eigentliche Schlechtprognose voraussetze. Eine teilbedingte Strafe falle bei ausgewiesener Massnahmebedürftigkeit wie vorliegend ausser Betracht. Die Freiheitsstrafe von 2 Jahren und 10 Monaten sei deshalb für vollziehbar zu erklären. Der Vollzug der Freiheitsstrafe sei auch anzuordnen, weil der Beschwerdeführerin nach den gutachterlichen Feststellungen ein hohes Rückfallrisiko attestiert werden müsse. So stelle die Sachverständige Dr. med. H.________ in ihrem Gutachten vom 28. August 2015 zusammenfassend fest, die Beschwerdeführerin habe über einen langen Tatzeitraum delinquiert. Es handle sich um ein vergleichsweise eingeschliffenes Verhalten. Ihr Problembewusstsein für dieses Verhalten sei unzureichend, es bestünden erhebliche kognitive Verzerrungen wie Bagatellisierung und Externalisierung der Verantwortung. Hinzu komme, dass sich die Beschwerdeführerin nur wenig bereit gezeigt habe, sich mit dem deliktischen Verhalten resp. den dysfunktionalen Mustern ihrer Persönlichkeitsstörung vertieft auseinander zu setzen. Zwar habe die Beschwerdeführerin sehr gute interpersonelle Fähigkeiten und könne mit ihrem Charme andere Menschen für sich einnehmen. Die Angaben der Geschädigten und des Sohns zeigten aber auf, dass sie häufig versuche, ihr Gegenüber zu manipulieren und zu instrumentalisieren. Eine Folge scheine zu sein, dass sie inzwischen nur noch wenig soziale Unterstützung durch Freunde oder Bekannte habe. Die soziale Situation sei insgesamt prekär, denn die Beschwerdeführerin sei arbeitslos, werde vom Sozialdienst unterstützt und es scheine unsicher, wie lange sie ihre Wohnung, die angesichts der jetzigen Lebenssituation deutlich zu teuer sei, noch halten könne. In der Gesamtschau der relevanten Risikofaktoren sei das Rückfallrisiko für Betrugs- und Diebstahlsdelikte hoch. Anlässlich der zweitinstanzlichen Verhandlung habe die Sachverständige Dr. med. H.________ erklärt, sie halte an ihrem Gutachten vom 28. August 2015 fest. Damit sei aus der überzeugenden Einschätzung der Sachverständigen vorliegend von einem hohen Rückfallrisiko bei der Beschwerdeführerin auszugehen. Es müsse ihr deshalb eine Schlechtprognose gestellt werden. Die Freiheitsstrafe und die Geldstrafe seien folglich zu vollziehen (angefochtenes Urteil, E. III. C. 2. S. 119 f.).</w:t>
      </w:r>
    </w:p>
    <w:p>
      <w:r>
        <w:rPr>
          <w:b/>
        </w:rPr>
        <w:t>E. 1.2.2</w:t>
      </w:r>
    </w:p>
    <w:p>
      <w:r>
        <w:t>Betreffend Anordnung einer ambulanten Massnahme anerkenne die Beschwerdeführerin in der Berufungsbegründung zu Recht, dass die entsprechenden Voraussetzungen gegeben seien. Aus den überzeugenden Ausführungen der Sachverständigen Dr. med. H.________ ergebe sich, dass die Beschwerdeführerin nach wie vor an einer schweren psychischen Störung leide und in unbehandeltem Zustand stark rückfallgefährdet sei. Bei der Durchführung einer ambulanten Massnahme durch einen forensischen Psychiater bestehe die Chance auf eine Reduktion der Rückfallgefahr. Die Beschwerdeführerin zeige sich auch massnahmenbereit. Nach alledem seien die Voraussetzungen für die Anordnung einer ambulanten Behandlung gegeben. Im Übrigen habe die Beschwerdeführerin die von der ersten Instanz angeordnete Massnahme nicht ausdrücklich angefochten (angefochtenes Urteil, E. IV. B. 2.2 S. 123).</w:t>
      </w:r>
    </w:p>
    <w:p>
      <w:r>
        <w:rPr>
          <w:b/>
        </w:rPr>
        <w:t>E. 1.3.1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S. 6, 97 E. 7.3).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 BGE 144 IV 277 E. 3.1.1 S. 280; 134 IV 1 E. 5.5.2). Besteht hingegen keinerlei Aussicht, dass der Täter sich durch den - ganz oder teilweise - gewährten Strafaufschub im Hinblick auf sein zukünftiges Legalverhalten positiv beeinflussen lässt, ist die Strafe in voller Länge zu vollziehen ( BGE 144 IV 277 E. 3.1.1; 134 IV 1 E. 5.3.1). Dem Sachgericht steht bei der Beurteilung der Legalprognose ein Ermessensspielraum zu. Das Bundesgericht greift nur ein, wenn das Sachgericht sein Ermessen über- bzw. unterschreitet oder missbraucht und damit Bundesrecht verletzt ( BGE 145 IV 137 E. 2.2; 134 IV 140 E. 4.2 S. 143).</w:t>
      </w:r>
    </w:p>
    <w:p>
      <w:r>
        <w:rPr>
          <w:b/>
        </w:rPr>
        <w:t>E. 1.3.2</w:t>
      </w:r>
    </w:p>
    <w:p>
      <w:r>
        <w:t>Die Anordnung einer Massnahme bedeutet nach der Rechtsprechung des Bundesgerichts zugleich eine ungünstige Prognose, sodass der bedingte oder teilbedingte Aufschub einer gleichzeitig ausgefällten Strafe gemäss Art. 42 und 43 StGB ausgeschlossen ist. Dies gilt auch, wenn eine ambulante Massnahme ausgesprochen wird ( BGE 135 IV 180 E. 2.3; Urteile 6B_293/2019 vom 29. März 2019 E. 2.1; 6B_223/2016 vom 8. September 2016 E. 3.3; 6B_1195/2015 vom 18. April 2016 E. 5; je mit Hinweisen).</w:t>
      </w:r>
    </w:p>
    <w:p>
      <w:r>
        <w:rPr>
          <w:b/>
        </w:rPr>
        <w:t>E. 1.4</w:t>
      </w:r>
    </w:p>
    <w:p>
      <w:r>
        <w:t>Hinsichtlich der negativen Legalprognose beschränkt sich die Beschwerdeführerin darauf, jene zu bestreiten, ohne sich jedoch mit den einschlägigen vorinstanzlichen Erwägungen auseinanderzusetzen. Wohl wendet das Bundesgericht Bundesrecht von Amtes wegen an ( Art. 106 Abs. 1 BGG ). Nichtsdestotrotz müsste sich die Beschwerdeführerin, um der Begründungspflicht im Sinne von Art. 42 Abs. 2 BGG zu genügen, mit den Erwägungen des angefochtenen Entscheids auseinandersetzen und klar aufzeigen, inwiefern die Vorinstanz Recht verletzt ( BGE 140 III 86 E. 2 S. 88 f. mit Hinweisen). Dies ist hier nicht der Fall. Die Beschwerde enthält insoweit keine Begründung, die den Anforderungen von Art. 42 Abs. 2 BGG genügt und es ist auf sie diesbezüglich nicht einzutreten. Ohnehin überzeugt die vorinstanzliche Begründung, wonach bei der Beschwerdeführerin ein hohes Rückfallrisiko für Betrugs- und Diebstahlsdelikte bestehe (vgl. E. 1.2.1 hiervor). Darüber hinaus ist auch im Lichte der wiedergegebenen bundesgerichtlichen Rechtsprechung zur ausschliessenden Wirkung der Anordnung einer Massnahme resp. der damit einhergehenden Rückfallgefahr auf einen Strafaufschub (E. 1.3.2) nicht zu beanstanden, dass die Vorinstanz der Beschwerdeführerin einen teilbedingten Vollzug sowohl der Freiheits- als auch der Geldstrafe verweigert. Zur vorinstanzlichen Erwägung, die Beschwerdeführerin habe die Anordnung der ambulanten Behandlung anerkannt, äussert sich Letztere ebenso wenig. Davon unbesehen ist ihre vor Bundesgericht vorgebrachte und im Widerspruch zu ihrer von der Vorinstanz wiedergegebenen Auffassung stehende Kritik gegen die Massnahmenanordnung nicht stichhaltig. Die Vorinstanz begründet mit Hinweisen auf die Anerkennung der Beschwerdeführerin in der Berufungsbegründung sowie auf das Gutachten vom 28. August 2015 überzeugend, dass die Beschwerdeführerin an einer schweren psychischen Störung leide und in unbehandeltem Zustand stark rückfallgefährdet sei. Folglich schliesst sie zumindest implizit auch auf einen Zusammenhang zwischen der psychischen Störung und den Straftaten. Gemäss Gutachten (kant. Akten, act. 263 ff.), an welchem die Gutachterin Dr. med. H.________ an der vorinstanzlichen Verhandlung festhielt (Prot. S. 6), seien sodann die Chancen für eine erfolgreiche Therapie v.a. wegen der Externalisierung der Verantwortung und der geringen Frustrationstoleranz der Beschwerdeführerin zwar als gering einzustufen. Eine ambulante Behandlung sei jedoch ein Versuch wert, zumindest bei einem forensisch erfahrenen Therapeuten (vgl. auch angefochtenes Urteil, E. IV. B. 2.1 S. 122 und Prot. S. 9). Mithin sind die von der Beschwerdeführerin vor Bundesgericht gerügten Voraussetzungen der vorinstanzlich angeordneten ambulanten Behandlung erfüllt und sie bringt nichts vor, was den angefochtenen Entscheid als bundesrechtswidrig erscheinen liesse.</w:t>
      </w:r>
    </w:p>
    <w:p>
      <w:r>
        <w:rPr>
          <w:b/>
        </w:rPr>
        <w:t>E. 2</w:t>
      </w:r>
    </w:p>
    <w:p>
      <w:r>
        <w:t>Die Beschwerde ist abzuweisen, soweit darauf eingetreten werden kann.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