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6B_960/2013 vom 22. Mai 2014</w:t>
      </w:r>
    </w:p>
    <w:p>
      <w:r>
        <w:t>Bundesgericht, 2014-05-22, DE</w:t>
      </w:r>
    </w:p>
    <w:p>
      <w:r>
        <w:rPr>
          <w:b/>
        </w:rPr>
        <w:t xml:space="preserve">Quelle: </w:t>
      </w:r>
      <w:r>
        <w:t>https://mcp.opencaselaw.ch/entscheid/bger_6B_960_2013</w:t>
      </w:r>
    </w:p>
    <w:p>
      <w:r>
        <w:t>FR: TF 6B_960/2013 du 22 mai 2014</w:t>
      </w:r>
    </w:p>
    <w:p>
      <w:r>
        <w:t>IT: TF 6B_960/2013 del 22 maggio 2014</w:t>
      </w:r>
    </w:p>
    <w:p>
      <w:pPr>
        <w:pStyle w:val="Heading2"/>
      </w:pPr>
      <w:r>
        <w:t>Erwägungen</w:t>
      </w:r>
    </w:p>
    <w:p>
      <w:r>
        <w:rPr>
          <w:b/>
        </w:rPr>
        <w:t>E. 1.1</w:t>
      </w:r>
    </w:p>
    <w:p>
      <w:r>
        <w:t>Entscheide, die der Beschwerde an das Bundesgericht unterliegen, müssen u.a. die massgebenden Gründe tatsächlicher und rechtlicher Art, insbesondere die Angaben der angewendeten Gesetzesbestimmungen enthalten ( Art. 112 Abs. 1 lit. b BGG ). Das Bundesgericht kann einen Entscheid, der diesen Anforderungen nicht genügt, an die kantonale Behörde zur Verbesserung zurückweisen oder aufheben ( Art. 112 Abs. 3 BGG ).</w:t>
      </w:r>
    </w:p>
    <w:p>
      <w:r>
        <w:rPr>
          <w:b/>
        </w:rPr>
        <w:t>E. 1.2</w:t>
      </w:r>
    </w:p>
    <w:p>
      <w:r>
        <w:t>Der angefochtene Entscheid genügt den gesetzlichen Eröffnungsanforderungen nicht. Er beschränkt sich im Wesentlichen auf eine Wiedergabe des Verfahrensablaufs, der Parteistandpunkte und der vorinstanzlichen Erwägungen, ohne sich zur tatsächlichen oder rechtlichen Anspruchsgrundlage der zugesprochenen Entschädigung zu äussern. Bezeichnenderweise fehlt jeder Hinweis auf die angewendeten Gesetzesbestimmungen.</w:t>
      </w:r>
    </w:p>
    <w:p>
      <w:r>
        <w:rPr>
          <w:b/>
        </w:rPr>
        <w:t>E. 1.3</w:t>
      </w:r>
    </w:p>
    <w:p>
      <w:r>
        <w:t>Ein mangelhaft eröffneter Entscheid ist nicht nichtig ( BGE 122 I 97 E. 3a/aa). Den Parteien darf aber aus einer mangelhaften Eröffnung kein Nachteil entstehen ( Art. 49 BGG ). Da der angefochtene Entscheid trotz Eröffnungsfehler überprüfbar ist, kann auf eine Rückweisung oder Aufhebung verzichtet werden und steht einer materiellen Beurteilung nichts entgegen (Hansjörg Seiler, in: Bundesgerichtsgesetz (BGG), 2007, N. 28 zu Art. 112 BGG ).</w:t>
      </w:r>
    </w:p>
    <w:p>
      <w:r>
        <w:rPr>
          <w:b/>
        </w:rPr>
        <w:t>E. 1.4</w:t>
      </w:r>
    </w:p>
    <w:p>
      <w:r>
        <w:t>Das Bundesgericht wendet das Recht von Amtes wegen an ( Art. 106 Abs. 1 BGG ). Es ist weder an die in der Beschwerde vorgetragene Begründung der Rechtsbegehren noch an die Erwägungen der Vorinstanz gebunden. Es kann eine Beschwerde mithin auch aus einem anderen als dem angerufenen Grund gutheissen, und es kann eine Beschwerde mit einer von der Argumentation der Vorinstanz abweichenden Begründung abweisen (vgl. BGE 130 III 136 E. 1.4 mit Hinweis). Das Bundesgericht darf indes nicht über die Begehren der Parteien hinausgehen ( Art. 107 Abs. 1 BGG ).</w:t>
      </w:r>
    </w:p>
    <w:p>
      <w:r>
        <w:rPr>
          <w:b/>
        </w:rPr>
        <w:t>E. 2.1</w:t>
      </w:r>
    </w:p>
    <w:p>
      <w:r>
        <w:t>Nach Art. 51 StGB rechnet das Gericht die Untersuchungshaft, die der Täter während dieses oder eines anderen Verfahrens ausgestanden hat, auf die Strafe an. Zu entziehende Freiheit soll demnach wenn immer möglich mit bereits entzogener kompensiert werden ( BGE 133 IV 150 E. 5.1 mit Hinweisen).</w:t>
      </w:r>
    </w:p>
    <w:p>
      <w:r>
        <w:t>Das Bezirksgericht Arbon verurteilte den Beschwerdeführer am 28. Februar 2013 zu einer Freiheitsstrafe von 12 Monaten, unter Anrechnung der (gesamthaften) Untersuchungs- und Sicherheitshaft von 61 Tagen. Für eine zusätzliche Haftentschädigung verbleibt somit grundsätzlich kein Raum.</w:t>
      </w:r>
    </w:p>
    <w:p>
      <w:r>
        <w:rPr>
          <w:b/>
        </w:rPr>
        <w:t>E. 2.2</w:t>
      </w:r>
    </w:p>
    <w:p>
      <w:r>
        <w:t>Art. 429 Abs. 1 lit. c StPO regelt die Haftentschädigung bei vollumfänglichem oder teilweisem Freispruch. Nachdem der Beschwerdeführer im Sinne der Anklage verurteilt wurde, kann die von der Vorinstanz zugesprochene Entschädigung nicht auf diese Bestimmung gestützt werden.</w:t>
      </w:r>
    </w:p>
    <w:p>
      <w:r>
        <w:t>Ebenfalls keine Anspruchsgrundlage bildet Art. 431 StPO , wonach der Beschuldigte bei rechtswidrig angewandten Zwangsmassnahmen Anspruch auf angemessene Entschädigung und Genugtuung hat. Bei Untersuchungs- und Sicherheitshaft ist ein derartiger Anspruch nur gegeben, wenn die zulässige Haftdauer überschritten ist, d.h. wenn sogenannte Überhaft vorliegt, und der übermässige Freiheitsentzug nicht an die wegen anderer Straftaten ausgesprochenen Sanktionen angerechnet werden kann. Überhaft liegt nicht vor, da die ausgefällte Freiheitsstrafe die Dauer der vom Beschwerdeführer erstandenen Untersuchungs- und Sicherheitshaft überschreitet.</w:t>
      </w:r>
    </w:p>
    <w:p>
      <w:r>
        <w:rPr>
          <w:b/>
        </w:rPr>
        <w:t>E. 2.3</w:t>
      </w:r>
    </w:p>
    <w:p>
      <w:r>
        <w:t>Das Obergericht des Kantons Thurgau stellte im Beschwerdeentscheid vom 7. März 2013 zwar fest, dass die nach der Anklageerhebung angeordnete Sicherheitshaft "rechtswidrig" war. Rechtswidrig sind Zwangsmassnahmen aber nur dann, wenn sie von allem Anfang an ungesetzlich waren. Die blosse Tatsache, dass sie sich im Nachhinein als unberechtigt erweisen, weil die Rechtsmittelinstanz die Voraussetzungen in Ausübung ihres Ermessens anders beurteilt, lässt die Zwangsmassnahme als ungerechtfertigt, nicht aber als rechtswidrig erscheinen.</w:t>
      </w:r>
    </w:p>
    <w:p>
      <w:r>
        <w:t>Weder der Beschwerdeführer noch die Vorinstanz machen geltend, die Sicherheitshaft sei in einem qualifizierten Sinn ungesetzlich angeordnet worden. Es kann deshalb offenbleiben, ob sich in einer derartigen Konstellation allenfalls ein Entschädigungsanspruch unmittelbar gestützt auf Art. 5 Ziff. 5 EMRK ergeben könnte, der von der Regelung in der Strafprozessordnung nicht erfasst wird.</w:t>
      </w:r>
    </w:p>
    <w:p>
      <w:r>
        <w:rPr>
          <w:b/>
        </w:rPr>
        <w:t>E. 2.4</w:t>
      </w:r>
    </w:p>
    <w:p>
      <w:r>
        <w:t>Eine Aufhebung des angefochtenen Entscheids fällt trotz falscher Rechtsanwendung durch die Vorinstanz ausser Betracht, da das Bundesgericht an die Begehren der Parteien gebunden ist (vgl. Art. 107 Abs. 1 BGG ) und die Gegenpartei den vorinstanzlichen Entscheid nicht angefochten hat.</w:t>
      </w:r>
    </w:p>
    <w:p>
      <w:r>
        <w:t>Die Einwendungen des Beschwerdeführers richten sich ausschliesslich gegen die quantitative Bemessung der ihm zugesprochenen Haftentschädigung. Sie sind deshalb, nachdem ein Anspruch auf Genugtuung verneint wird, nicht näher zu prüfen. Die Beschwerde ist abzuweisen.</w:t>
      </w:r>
    </w:p>
    <w:p>
      <w:r>
        <w:rPr>
          <w:b/>
        </w:rPr>
        <w:t>E. 3</w:t>
      </w:r>
    </w:p>
    <w:p>
      <w:r>
        <w:t>Die Vorinstanz sprach dem Rechtsvertreter des Beschwerdeführers aus amtlicher Verteidigung eine Parteientschädigung von Fr. 1'300.-- (zuzüglich MwSt) zu. Der Beschwerdeführer beantragt, diese sei auf Fr. 2'142.20 (inklusive Spesen und MwSt) festzusetzen.</w:t>
      </w:r>
    </w:p>
    <w:p>
      <w:r>
        <w:t>Die Festsetzung der Höhe der Entschädigung betrifft grundsätzlich nur die eigenen Interessen des amtlichen Verteidigers. Die amtlich verteidigte Partei ist hingegen durch eine behaupteterweise zu tief festgesetzte Entschädigung nicht in ihren eigenen Rechten betroffen, weshalb es ihr an einem rechtlich geschützten Interesse an der Erhöhung der Entschädigung fehlt. Sie ist nicht zur Rüge legitimiert, das dem amtlichen Verteidiger zugesprochene Honorar sei zu niedrig bemessen (Urteil 6B_45/2012 vom 7. Mai 2012 E. 1.2).</w:t>
      </w:r>
    </w:p>
    <w:p>
      <w:r>
        <w:t>Auf die Beschwerde ist deshalb in diesem Punkt mangels Legitimation des Beschwerdeführers nicht einzutreten.</w:t>
      </w:r>
    </w:p>
    <w:p>
      <w:r>
        <w:rPr>
          <w:b/>
        </w:rPr>
        <w:t>E. 4</w:t>
      </w:r>
    </w:p>
    <w:p>
      <w:r>
        <w:t>Die Beschwerde ist abzuweisen, soweit darauf eingetreten werden kann. Bei diesem Verfahrensausgang trägt der Beschwerdeführer die Kosten des bundesgerichtlichen Verfahrens ( Art. 66 Abs. 1 BGG ). Sein Gesuch um Gewährung der unentgeltlichen Rechtspflege ist abzuweisen, da die Beschwerde von vornherein als aussichtslos erschien ( Art. 64 Abs. 1 BGG , vgl. dazu BGE 138 III 217 E. 2.2.4). Seiner finanziellen Lage ist mit einer herabgesetzten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