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6B_95/2011 vom 31. Mai 2011</w:t>
      </w:r>
    </w:p>
    <w:p>
      <w:r>
        <w:t>Bundesgericht, 2011-05-31, DE</w:t>
      </w:r>
    </w:p>
    <w:p>
      <w:r>
        <w:rPr>
          <w:b/>
        </w:rPr>
        <w:t xml:space="preserve">Quelle: </w:t>
      </w:r>
      <w:r>
        <w:t>https://mcp.opencaselaw.ch/entscheid/bger_6B_95_2011</w:t>
      </w:r>
    </w:p>
    <w:p>
      <w:r>
        <w:t>FR: TF 6B_95/2011 du 31 mai 2011</w:t>
      </w:r>
    </w:p>
    <w:p>
      <w:r>
        <w:t>IT: TF 6B_95/2011 del 31 maggio 2011</w:t>
      </w:r>
    </w:p>
    <w:p>
      <w:pPr>
        <w:pStyle w:val="Heading2"/>
      </w:pPr>
      <w:r>
        <w:t>Erwägungen</w:t>
      </w:r>
    </w:p>
    <w:p>
      <w:r>
        <w:rPr>
          <w:b/>
        </w:rPr>
        <w:t>E. 1</w:t>
      </w:r>
    </w:p>
    <w:p>
      <w:r>
        <w:t>Die Vorinstanz geht von folgendem Sachverhalt aus:</w:t>
      </w:r>
    </w:p>
    <w:p>
      <w:r>
        <w:t>Der Beschwerdeführer zwang die Beschwerdegegnerin 2 zwischen Ende August 2007 und dem 17. Februar 2008 in regelmässigen Abständen von drei bis vier Tagen, gegen ihren erklärten Willen und trotz Gegenwehr, zum Geschlechtsverkehr. Er machte sie jeweils durch Schläge gefügig, trat gegen sie, riss ihr an den Haaren und sperrte sie ins Schlafzimmer. Zudem schloss er sie in demselben Zeitraum ungefähr alle vier Tage während 20 bis 40 Minuten in ein Zimmer und einmal in den Keller ein, nachdem er sie geschlagen hatte. Er schlug ihr Mitte Januar 2008 mit einem Klappstuhl gegen den Nacken, was bei der Beschwerdegegnerin 2 zu einer Versteifung des Nackens mit lange dauernden Nacken- und Kopfschmerzen führte. Einmal verprügelte er sie derart heftig, dass sie verschiedene, lange sichtbare und schmerzhafte Hämatome am linken Arm und Bein erlitt. Weiter stellte er am 17. Februar 2008 seinen Fuss auf ihren Kopf, quetschte hierbei ihre Ohren und fügte ihr damit mehrere Prellungen im Rippen- und Bauchbereich sowie hinter dem linken Ohr zu. Er schlug sie ausserdem zwischen Ende August 2007 bis ungefähr 16. Februar 2008 täglich mit der Hand ins Gesicht, ohne ihr Verletzungen zuzufügen.</w:t>
      </w:r>
    </w:p>
    <w:p>
      <w:r>
        <w:rPr>
          <w:b/>
        </w:rPr>
        <w:t>E. 2.1</w:t>
      </w:r>
    </w:p>
    <w:p>
      <w:r>
        <w:t>Der Beschwerdeführer rügt eine Verletzung des rechtlichen Gehörs. Es bestünden keine ausreichenden Gründe, die es gerechtfertigt hätten, von vornherein auf eine Einvernahme seines Bruders zu verzichten. Es sei davon auszugehen, dass er zu den widersprüchlichen Behauptungen im Zusammenhang mit den Schlägen gegenüber der Beschwerdegegnerin 2 sachdienliche Aussagen hätte tätigen können. Ebenso hätten die Vermieter der beiden Liegenschaften Wahrnehmungen machen müssen, wenn die Beschwerdegegnerin von ihm angeblich misshandelt und regelmässig geschlagen worden wäre. Die Vorinstanz gehe zwar zu seinen Gunsten davon aus, dass die Nachbarn kein Schreien wahrgenommen hätten, gleichwohl spreche dies nicht gegen die Glaubhaftigkeit der Aussagen der Beschwerdegegnerin 2. Die Vorinstanz habe ihn dadurch um die Möglichkeit eines wichtigen Entlastungsbeweises gebracht (Beschwerde, S. 41 ff.).</w:t>
      </w:r>
    </w:p>
    <w:p>
      <w:r>
        <w:rPr>
          <w:b/>
        </w:rPr>
        <w:t>E. 2.2</w:t>
      </w:r>
    </w:p>
    <w:p>
      <w:r>
        <w:t>Die Vorinstanz führt aus, die entlastenden Aussagen der Eltern stellten augenfällige Gefälligkeitsaussagen dar. Ein anderes Aussageverhalten sei vom Bruder des Beschwerdeführers nicht zu erwarten. Es könne antizipierend davon ausgegangen werden, dass er als Zeuge jegliches strafbares Verhalten des Beschwerdeführers bestreiten würde. Ebenfalls könne auf die Einvernahme der Nachbarn und des Vermieters der Familie X.________ verzichtet werden. Da zugunsten des Beschwerdeführers davon ausgegangen werden könne, dass die angerufenen Zeugen kein Schreien bezeugen würden, ändere sich am Beweisergebnis nichts (angefochtenes Urteil, S. 21 f.).</w:t>
      </w:r>
    </w:p>
    <w:p>
      <w:r>
        <w:rPr>
          <w:b/>
        </w:rPr>
        <w:t>E. 2.3</w:t>
      </w:r>
    </w:p>
    <w:p>
      <w:r>
        <w:t>Dem Sachgericht steht im Bereich der Beweiswürdigung ein erheblicher Ermessensspielraum zu (Urteil 6B_209/2010 vom 2. Dezember 2010 E. 5.3.3; BGE 120 Ia 31 E. 4b). Das Bundesgericht greift auf Beschwerde hin nur ein, wenn es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(Urteil 6B_209/2010 vom 2. Dezember 2010 E. 5.3.3).</w:t>
      </w:r>
    </w:p>
    <w:p>
      <w:r>
        <w:rPr>
          <w:b/>
        </w:rPr>
        <w:t>E. 2.4</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 BGE 129 II 396 E. 2.1; 120 Ib 379 E. 3b; je mit Hinweisen). Keine Verletzung des rechtlichen Gehörs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134 I 140 E. 5.3 ; 131 I 153 E. 3 mit Hinweisen).</w:t>
      </w:r>
    </w:p>
    <w:p>
      <w:r>
        <w:rPr>
          <w:b/>
        </w:rPr>
        <w:t>E. 2.5</w:t>
      </w:r>
    </w:p>
    <w:p>
      <w:r>
        <w:t>Der Entscheid der Vorinstanz, in antizipierter Beweiswürdigung auf die Einvernahmen des Bruders des Beschwerdeführers sowie der Vermieter der beiden Liegenschaften zu verzichten, ist nicht zu beanstanden. Die Vorinstanz weist in Bezug auf den Bruder des Beschwerdeführers darauf hin, dass die Beschwerdegegnerin 2 diesen der Anstiftung des Beschwerdeführers zu Übergriffen auf sie bezichtigt hat, weshalb der Bruder als Zeuge jegliches strafbares Verhalten des Beschwerdeführers bestreiten würde (angefochtenes Urteil, S. 21). Die Vorinstanz durfte somit beim Bruder des Beschwerdeführers darauf schliessen, dass dieser Gefälligkeitsaussagen zugunsten seines Bruders machen würde. Ausserdem ging die Vorinstanz auch ohne Befragung der Nachbarn zugunsten des Beschwerdeführers davon aus, dass diese kein Schreien bezeugen könnten. Der Beschwerdeführer vermag nicht darzutun, dass die Einvernahme dieser Personen zu einem anderen Beweisergebnis geführt hätte.</w:t>
      </w:r>
    </w:p>
    <w:p>
      <w:r>
        <w:rPr>
          <w:b/>
        </w:rPr>
        <w:t>E. 3.1</w:t>
      </w:r>
    </w:p>
    <w:p>
      <w:r>
        <w:t>Der Beschwerdeführer rügt in weitschweifigen Ausführungen (Beschwerde, S. 5-41 und S. 44-46) eine offensichtlich unrichtige Sachverhaltsfeststellung bzw. eine willkürliche Beweiswürdigung sowie die Verletzung des Grundsatzes "in dubio pro reo". Er beanstandet, die Vorinstanz habe verschiedene Widersprüche in den Aussagen der Beschwerdegegnerin 2 nicht beachtet. Dies betreffe einerseits die Angaben über Ort und Zeitpunkt sowie die Häufigkeit der sexuellen Übergriffe, andererseits die Aussagen zu den Schlägen, die Probleme innerhalb der Familie und die Frage der Aufenthaltsbewilligung der Beschwerdegegnerin 2. Die vorinstanzliche Auffassung sei daher klar aktenwidrig und lasse sich nicht mit dem Prinzip der freien Beweiswürdigung begründen. Dieses finde nur Anwendung, wenn die richterliche Überzeugung auf vernünftigen Gründen beruhe. Da Aussage gegen Aussage stehe, sei er aufgrund der Unschuldsvermutung freizusprechen.</w:t>
      </w:r>
    </w:p>
    <w:p>
      <w:r>
        <w:rPr>
          <w:b/>
        </w:rPr>
        <w:t>E. 3.2</w:t>
      </w:r>
    </w:p>
    <w:p>
      <w:r>
        <w:t>Die Vorinstanz führt aus, das vorliegende Strafverfahren habe seinen Anfang genommen, indem die Beschwerdegegnerin 2 am 17. Februar 2008 mit einer blutenden Kopfverletzung aus der Wohnung ihrer Schwiegereltern zu den Nachbarn geflüchtet sei und diese die Polizei verständigt hätten. Sie sei zu diesem Zeitpunkt 19 Jahre alt gewesen, habe praktisch kein Deutsch gesprochen und habe weder Verwandte noch Bezugspersonen in der Schweiz gehabt. Es sei absurd und zynisch zu behaupten, sie habe angeblich falsche Vorwürfe hinsichtlich der körperlichen Missbräuche und sexuellen Übergriffe mit dem einzigen Motiv verbreitet, sich von der Familie des Beschwerdeführers zu lösen und eine unabhängige Aufenthaltsbewilligung in der Schweiz zu erhalten (angefochtenes Urteil, S. 13 und 19).</w:t>
      </w:r>
    </w:p>
    <w:p>
      <w:r>
        <w:t>Die Beschwerdegegnerin 2 habe ihr teilweise differierendes Aussageverhalten und die darin enthaltenen Abweichungen nachvollziehbar erklärt. Ihre Aussagen seien inhaltlich detailliert, wirkten erlebt und seien daher überzeugend, während die Ausführungen des Beschwerdeführers in keiner Weise glaubhaft seien. Dessen Sachverhaltsdarstellungen stellten offensichtliche Schutzbehauptungen dar, indem er anfangs sämtliche Gewalttätigkeiten in Abrede gestellt habe, um später nachzuschieben, er sei ihr einmal auf den Kopf gestanden, um sie zu beruhigen (angefochtenes Urteil, S. 20 f.).</w:t>
      </w:r>
    </w:p>
    <w:p>
      <w:r>
        <w:t>Es sei unbehelflich, wenn der Beschwerdeführer aus den Schilderungen in den verschiedenen Einvernahmen einzelne Ungereimtheiten in Details herausarbeite, um daraus eine allgemeine Unglaubhaftigkeit der gesamten Schilderung abzuleiten. Die Aussagen der Beschwerdegegnerin 2 sprächen klar gegen eine pauschale, möglichst schwere Belastung des Beschwerdeführers (angefochtenes Urteil, S. 14 ff.).</w:t>
      </w:r>
    </w:p>
    <w:p>
      <w:r>
        <w:rPr>
          <w:b/>
        </w:rPr>
        <w:t>E. 3.3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 Art. 105 Abs. 2 BGG ) prüft das Bundesgericht ebenfalls unter den in Art. 106 Abs. 2 BGG vorgegebenen Bedingungen.</w:t>
      </w:r>
    </w:p>
    <w:p>
      <w:r>
        <w:rPr>
          <w:b/>
        </w:rPr>
        <w:t>E. 3.4</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Der Beschwerdeführer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462 E. 2.4).</w:t>
      </w:r>
    </w:p>
    <w:p>
      <w:r>
        <w:rPr>
          <w:b/>
        </w:rPr>
        <w:t>E. 3.5</w:t>
      </w:r>
    </w:p>
    <w:p>
      <w:r>
        <w:t>Was der Beschwerdeführer gegen die tatsächlichen Feststellungen der Vorinstanz einwendet, erschöpft sich in einer blossen appellatorischen Kritik am angefochtenen Urteil, die für die Begründung einer willkürlichen Feststellung des Sachverhalts nicht genügt. Er zeigt nicht auf, inwiefern er glaubhaft bzw. die Beschwerdegegnerin 2 unglaubhaft ausgesagt haben soll und deshalb nicht auf deren Aussagen abzustellen wäre. Die langwierigen Ausführungen zur mutmasslichen Tageszeit der sexuellen Übergriffe sind unbehelflich, zumal sich die angeblichen Widersprüche damit erklären, dass die Übergriffe im Kosovo tagsüber, in der Schweiz jedoch am Abend bzw. in der Nacht stattfanden und die genauen Zeiten bei der Vielzahl der Übergriffe auch nicht entscheidend sind.</w:t>
      </w:r>
    </w:p>
    <w:p>
      <w:r>
        <w:t>Ebenso irrelevant erweisen sich die angeblichen Widersprüche bezüglich der Frage, in welchen Lokalitäten - an der B.________strasse oder der C.________strasse in D.________ - der Beschwerdeführer die Beschwerdegegnerin 2 geschlagen hat. Die Vorinstanz führt hierzu zutreffend aus, dass es einerseits unklar sei, was die Beschwerdegegnerin 2 unter "zu Hause" verstanden habe, da sie an der einen Adresse gewohnt und an der anderen lediglich übernachtet habe. Zum anderen führe es zu weit, die zahlreichen Vorfälle, die sich über ein halbes Jahr erstreckt hätten, mehr als ein Jahr später so detailliert zu beschreiben (angefochtenes Urteil, S. 15).</w:t>
      </w:r>
    </w:p>
    <w:p>
      <w:r>
        <w:t>Die Vorbringen des Beschwerdeführers im Zusammenhang mit dem angeblichen Motiv der Beschwerdegegnerin 2, ihn schwer zu belasten um länger in der Schweiz bleiben zu können, beschränken sich auf Hypothesen und Mutmassungen, die wie die übrigen Ausführungen des Beschwerdeführers nicht geeignet sind, offensichtlich erhebliche und nicht zu unterdrückende Zweifel an der ausführlichen und sorgfältigen Sachverhaltsfeststellung der Vorinstanz darzutun. Auf seine Beschwerde ist insoweit nicht einzutreten.</w:t>
      </w:r>
    </w:p>
    <w:p>
      <w:r>
        <w:rPr>
          <w:b/>
        </w:rPr>
        <w:t>E. 4</w:t>
      </w:r>
    </w:p>
    <w:p>
      <w:r>
        <w:t>Die Beschwerde ist abzuweisen, soweit darauf einzutreten ist. Bei diesem Ausgang des Verfahrens trägt der Beschwerdeführer die Kosten ( Art. 66 Abs. 1 BGG ). Der Beschwerdegegnerin 1 ist keine Entschädigung zuzusprechen ( Art. 68 Abs. 3 BGG ). Der Beschwerdegegnerin 2 steht ebenfalls keine Entschädigung zu, da ihr im bundesgerichtlichen Verfahren keine Umtriebe entstanden sind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