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95/2010 vom 17. Mai 2010</w:t>
      </w:r>
    </w:p>
    <w:p>
      <w:r>
        <w:t>Bundesgericht, 2010-05-17, FR</w:t>
      </w:r>
    </w:p>
    <w:p>
      <w:r>
        <w:rPr>
          <w:b/>
        </w:rPr>
        <w:t xml:space="preserve">Quelle: </w:t>
      </w:r>
      <w:r>
        <w:t>https://mcp.opencaselaw.ch/entscheid/bger_6B_95_2010</w:t>
      </w:r>
    </w:p>
    <w:p>
      <w:r>
        <w:t>FR: TF 6B 95/2010 du 17 mai 2010</w:t>
      </w:r>
    </w:p>
    <w:p>
      <w:r>
        <w:t>IT: TF 6B 95/2010 del 17 maggio 2010</w:t>
      </w:r>
    </w:p>
    <w:p>
      <w:pPr>
        <w:pStyle w:val="Heading2"/>
      </w:pPr>
      <w:r>
        <w:t>Regeste</w:t>
      </w:r>
    </w:p>
    <w:p>
      <w:r>
        <w:t>Violation de domicile; présomption d'innocence | Infractions</w:t>
      </w:r>
    </w:p>
    <w:p>
      <w:pPr>
        <w:pStyle w:val="Heading2"/>
      </w:pPr>
      <w:r>
        <w:t>Erwägungen</w:t>
      </w:r>
    </w:p>
    <w:p>
      <w:r>
        <w:rPr>
          <w:b/>
        </w:rPr>
        <w:t>E. 1.1</w:t>
      </w:r>
    </w:p>
    <w:p>
      <w:r>
        <w:t>Dans un premier grief relatif à la violation de domicile, le recourant conteste être resté dans l'appartement de son ex-compagne au mépris de ses injonctions d'en sortir. Il reproche à la Chambre pénale d'avoir ainsi établi les faits et apprécié les preuves de manière arbitraire en préférant la version des faits de la plaignante à la sienne. Supposé fondé, le moyen est irrecevable faute d'influer sur le sort de la cause ( art. 97 al. 1 LTF ) au regard des considérants qui suivent.</w:t>
      </w:r>
    </w:p>
    <w:p>
      <w:r>
        <w:rPr>
          <w:b/>
        </w:rPr>
        <w:t>E. 1.2</w:t>
      </w:r>
    </w:p>
    <w:p>
      <w:r>
        <w:t>Selon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 ATF 118 IV 167 consid. 1c, p. 170). La violation de domicile peut revêtir deux formes: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 ATF 87 IV 122 ). Il y a intrusion illicite aussitôt que l'auteur pénètre dans un local sans l'autorisation de celui qui a le pouvoir d'en disposer (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(Bernard Corboz, Les infractions en droit suisse, vol. 1, 2002, art. 186 CP , n. 19-20; José Hurtado Pozo, Droit pénal, partie spéciale, Zurich 2009, n. 2740 et 2741).</w:t>
      </w:r>
    </w:p>
    <w:p>
      <w:r>
        <w:rPr>
          <w:b/>
        </w:rPr>
        <w:t>E. 1.3</w:t>
      </w:r>
    </w:p>
    <w:p>
      <w:r>
        <w:t>Il ressort des constatations cantonales que le condamné a admis être entré dans l'appartement de Y.________ sans son autorisation, de même qu'il savait ne pas pouvoir y pénétrer ainsi (arrêt attaqué, consid. 2.2, § 2). Ces éléments ne sont pas contestés par le recourant qui, en particulier, ne prétend pas s'être cru légitimé à s'introduire dans ce logement. Au regard de ces éléments de faits qui lient le Tribunal fédéral ( art. 105 al. 1 LTF ), l'intéressé s'est manifestement rendu coupable de violation de domicile par le seul fait d'avoir pénétré dans le domicile de Y.________ sans son autorisation et contre sa volonté, cela indépendamment de la question de savoir s'il a, ou non, immédiatement obtempéré aux injonctions de sortir exprimées par la plaignante. Le jugement cantonal n'est pas critiquable.</w:t>
      </w:r>
    </w:p>
    <w:p>
      <w:r>
        <w:rPr>
          <w:b/>
        </w:rPr>
        <w:t>E. 2</w:t>
      </w:r>
    </w:p>
    <w:p>
      <w:r>
        <w:t>Dans un second grief afférent à l'infraction de conduite en état d'ébriété, le recourant reproche à l'autorité cantonale d'avoir arbitrairement indiqué dans la partie "en fait" de son jugement, un taux d'alcoolémie de 0.9 o/oo alors que celui retenu par le Tribunal de police est limité à 0.73 o/oo. La Chambre pénale ayant été saisie d'un appel circonscrit à l'infraction de violation de domicile, les constatations mises en cause sont demeurées sans incidence sur le prononcé cantonal, de sorte que le moyen est irrecevable faute d'influer sur le sort de la cause ( art. 97 al. 1 LTF ).</w:t>
      </w:r>
    </w:p>
    <w:p>
      <w:r>
        <w:rPr>
          <w:b/>
        </w:rPr>
        <w:t>E. 3</w:t>
      </w:r>
    </w:p>
    <w:p>
      <w:r>
        <w:t>Le requérant,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