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6B_959/2018 vom 24. Mai 2019</w:t>
      </w:r>
    </w:p>
    <w:p>
      <w:r>
        <w:t>Bundesgericht, 2019-05-24, DE</w:t>
      </w:r>
    </w:p>
    <w:p>
      <w:r>
        <w:rPr>
          <w:b/>
        </w:rPr>
        <w:t xml:space="preserve">Quelle: </w:t>
      </w:r>
      <w:r>
        <w:t>https://mcp.opencaselaw.ch/entscheid/bger_6B_959_2018</w:t>
      </w:r>
    </w:p>
    <w:p>
      <w:r>
        <w:t>FR: TF 6B_959/2018 du 24 mai 2019</w:t>
      </w:r>
    </w:p>
    <w:p>
      <w:r>
        <w:t>IT: TF 6B_959/2018 del 24 maggio 2019</w:t>
      </w:r>
    </w:p>
    <w:p>
      <w:pPr>
        <w:pStyle w:val="Heading2"/>
      </w:pPr>
      <w:r>
        <w:t>Erwägungen</w:t>
      </w:r>
    </w:p>
    <w:p>
      <w:r>
        <w:rPr>
          <w:b/>
        </w:rPr>
        <w:t>E. 1.1</w:t>
      </w:r>
    </w:p>
    <w:p>
      <w:r>
        <w:t>Als Privatklägerin ist die Beschwerdeführerin zur Beschwerde in Strafsachen legitimiert, wenn der angefochtene Entscheid sich auf die Beurteilung ihrer Zivilansprüche auswirken kann (Art. 81 Abs. 1 lit. b Ziff. 5 BGG).</w:t>
      </w:r>
    </w:p>
    <w:p>
      <w:r>
        <w:t>In erster Linie geht es dabei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Urteil 6B_1358/2016 vom 1. Juni 2017 E. 1.1, nicht publ. in BGE 143 IV 241 ).</w:t>
      </w:r>
    </w:p>
    <w:p>
      <w:r>
        <w:t>Der zivilrechtlichen Legitimation entsprechend ist jeder Miteigentümer (oder Stockwerkeigentümer) berechtigt, im Rahmen des Strafverfahrens als Privatkläger selbstständig vorzugehen (Urteile 6B_829/2018 vom 21. März 2019 E. 2.2; 6B_880/2013 vom 27. Februar 2014 E. 3).</w:t>
      </w:r>
    </w:p>
    <w:p>
      <w:r>
        <w:rPr>
          <w:b/>
        </w:rPr>
        <w:t>E. 1.2</w:t>
      </w:r>
    </w:p>
    <w:p>
      <w:r>
        <w:t>Die Beschwerdeführerin ist Stockwerkeigentümerin der Liegenschaft in U.________. Sie geht von einem Schaden von über Fr. 10'000.-- aus. Die Wiederherstellung ziehe grosse Einbussen mit sich, welche die Kosten für den Ersatz des Pools, Handwerkerarbeiten, zusätzliche Materialkosten sowie den entgangenen Gewinn aus Vermietung umfassten. Die Nichtanhandnahme des Verfahrens kann sich im vorliegenden Fall auf die Beurteilung der Zivilansprüche auswirken. Die Beschwerdelegitimation im Sinne von Art. 81 Abs. 1 lit. b Ziff. 5 BGG ist zu bejahen.</w:t>
      </w:r>
    </w:p>
    <w:p>
      <w:r>
        <w:rPr>
          <w:b/>
        </w:rPr>
        <w:t>E. 2.1</w:t>
      </w:r>
    </w:p>
    <w:p>
      <w:r>
        <w:t>Die Beschwerdeführerin wirft der Vorinstanz eine Verletzung von Art. 310 Abs. 1 lit. a i.V.m. Art. 393 Abs. 1 lit. a StPO , des Grundsatzes "in dubio pro duriore" sowie eine willkürliche Sachverhaltsfeststellung vor.</w:t>
      </w:r>
    </w:p>
    <w:p>
      <w:r>
        <w:rPr>
          <w:b/>
        </w:rPr>
        <w:t>E. 2.2.1</w:t>
      </w:r>
    </w:p>
    <w:p>
      <w:r>
        <w:t>Gemäss Art. 310 Abs. 1 StPO verfügt die Strafbehörde die Nichtanhandnahme der Untersuchung, sobald aufgrund der Strafanzeige oder des Polizeirapports feststeht, dass die fraglichen Straftatbestände oder die Prozessvoraussetzungen eindeutig nicht erfüllt sind (lit. a) oder wenn Verfahrenshindernisse bestehen (lit. b).</w:t>
      </w:r>
    </w:p>
    <w:p>
      <w:r>
        <w:t>Die Frage, ob die Strafverfolgungsbehörde ein Strafverfahren durch Nichtanhandnahme erledigen kann, beurteilt sich nach dem aus dem strafprozessualen Legalitätsprinzip abgeleiteten Grundsatz "in dubio pro duriore" ( Art. 5 Abs. 1 BV und Art. 2 Abs. 1 StPO i.V.m. Art. 319 Abs. 1 und Art. 324 Abs. 1 StPO ;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143 IV 241 E. 2.2; 138 IV 86 E. 4.1; 137 IV 219 E. 7).</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500 E. 1.1; 143 IV 241 E. 2.3.1 mit Hinweis). Richtet sich die Beschwerde gegen die Nichtanhandnahme eines Strafverfahrens, prüft das Bundesgericht in tatsächlicher Hinsicht, ob die Vorinstanz willkürlich von einem sachverhaltsmässig klaren Fall ausging (vgl. BGE 143 IV 241 E. 2.3.2). Auf ungenügend begründete Rügen oder bloss allgemein gehaltene appellatorische Kritik am angefochtenen Entscheid tritt das Bundesgericht nicht ein ( BGE 144 V 50 E. 4.2; 141 IV 369 E. 6.3; je mit Hinweisen).</w:t>
      </w:r>
    </w:p>
    <w:p>
      <w:r>
        <w:rPr>
          <w:b/>
        </w:rPr>
        <w:t>E. 2.2.2</w:t>
      </w:r>
    </w:p>
    <w:p>
      <w:r>
        <w:t>Nach Art. 144 Abs. 1 StGB macht sich der Sachbeschädigung schuldig, wer eine Sache, an der ein fremdes Eigentums-, Gebrauchs- oder Nutzniessungsrecht besteht, beschädigt, zerstört oder unbrauchbar macht. In subjektiver Hinsicht erfordert der Tatbestand der Sachbeschädigung Vorsatz. Dabei genügt Eventualvorsatz ( BGE 120 IV 319 E. 2a S. 321; Urteil 6B_264/2017 vom 26. Oktober 2017 E. 3.3.2 mit Hinweisen).</w:t>
      </w:r>
    </w:p>
    <w:p>
      <w:r>
        <w:t>Hat der Tätereinen grossen Schaden verursacht, kann nach Art. 144 Abs. 3 StGB auf Freiheitsstrafe von einem Jahr bis zu fünf Jahren erkannt werden. Nach der Rechtsprechung ist ein grosser Schaden anzunehmen, wenn er mindestens Fr. 10'000.-- beträgt ( BGE 136 IV 119 E. 4.3.1 S. 119).</w:t>
      </w:r>
    </w:p>
    <w:p>
      <w:r>
        <w:rPr>
          <w:b/>
        </w:rPr>
        <w:t>E. 2.3</w:t>
      </w:r>
    </w:p>
    <w:p>
      <w:r>
        <w:t>Die Vorinstanz erwägt, es seien keine deliktsrelevanten Anhaltspunkte für die Begehung einer Sachbeschädigung festzustellen. X.________ habe bestätigt, dass sie den Whirlpool abgeschaltet habe. Es sei indes nicht ersichtlich, inwiefern diese Handlung adäquat-kausal für die Funktionsunfähigkeit des Whirlpools sei. Der Whirlpool sei vor 25 Jahren in Betrieb genommen worden und habe aufgrund des Alters aus einem ganz anderen Grund funktionsunfähig werden können. Es handle sich vielmehr um eine zivilrechtliche Auseinandersetzung, die ihren Ursprung in einem bereits lange währenden Streit zwischen der Beschwerdeführerin und X.________ habe. An diesem Ergebnis könne auch der von der Beschwerdeführerin beantragte Augenschein des Whirlpools, die Befragung verschiedener Personen und die Edition von Akten, aus denen die Motivlage von X.________ hervorgehen solle, nichts ändern. Fachspezifische Abklärungen seien nach so langer Zeit nicht mehr vornehmbar.</w:t>
      </w:r>
    </w:p>
    <w:p>
      <w:r>
        <w:rPr>
          <w:b/>
        </w:rPr>
        <w:t>E. 2.4</w:t>
      </w:r>
    </w:p>
    <w:p>
      <w:r>
        <w:t>Die Beschwerdeführerin bringt mehrfach vor, X.________ habe den Whirlpool als störende Lärmquelle empfunden und diesen deswegen bereits in der Vergangenheit mehrfach ausser Betrieb gesetzt. Daraus lässt sich indes nicht ableiten, dass X.________ die Funktionsunfähigkeit des Whirlpools verursacht hat. Wie die Vorinstanz zutreffend dargelegt hat, ist unter Berücksichtigung des Alters des Whirlpools durchaus naheliegend, dass andere Ursachen für die Funktionsunfähigkeit vorliegen. Ebenfalls überzeugend ist, dass sich nach über sechs Jahren die genaue Ursache kaum mehr abklären lässt.</w:t>
      </w:r>
    </w:p>
    <w:p>
      <w:r>
        <w:t>Ferner vermag die Beschwerdeführerin mit ihrem Einwand, es tue nichts zur Sache, ob der Whirlpool für den Innenbetrieb geeignet war, nicht darzulegen, inwiefern der vorinstanzliche Beschluss Bundesrecht verletzt. Der Beschluss beruht nicht auf allfälligen Rechtfertigungsgründen für das Abschalten des Whirlpools, sondern auf der fehlenden Kausalität zwischen dem Abschalten des Whirlpools und dem eingetretenen Schaden.</w:t>
      </w:r>
    </w:p>
    <w:p>
      <w:r>
        <w:t>Die Beschwerdeführerin kritisiert, die Vorinstanz sei fälschlicherweise davon ausgegangen, das X.________ vorgeworfene Verhalten beziehe sich auf den Zeitraum vom 25. Dezember 2012 bis am 3. Januar 2013. Nicht die früheren Manipulationen von X.________ hätten zur Beschädigung des Whirlpools geführt, sondern lediglich das von X.________ zugegebene letztmalige Abschalten. Der Beschwerdeführerin kann nicht gefolgt werden. Die Vorinstanz hat festgehalten, es sei nicht ersichtlich, inwiefern die X.________ vorgeworfenen Handlungen bzw. ihr Vorgehen den Schaden am Whirlpool verursacht haben. Den Erwägungen der Vorinstanz lässt sich klar entnehmen, dass sie davon ausging, dass auch das letztmalige Abschalten den Whirlpool nicht beschädigt hat.</w:t>
      </w:r>
    </w:p>
    <w:p>
      <w:r>
        <w:t>Ferner beanstandet die Beschwerdeführerin die vorinstanzliche Erwägung, es hätten auch Dritte Zugang zum Technikgehäuse des Whirlpools gehabt. Sie weist indes selbst darauf hin, dass dies angesichts der Aussage von X.________, den Whirlpool abgeschaltet zu haben, für das Verfahren nicht weiter von Bedeutung ist und vermag insofern keine Willkür an den vorinstanzlichen Sachverhaltsfeststellungen aufzuzeigen. Was die Beschwerdeführerin im Übrigen vorbringt, erschöpft sich in unzulässiger, appellatorischer Kritik, worauf nicht einzutreten ist.</w:t>
      </w:r>
    </w:p>
    <w:p>
      <w:r>
        <w:t>Soweit die Vorinstanz den Straftatbestand der Sachbeschädigung als eindeutig nicht erfüllt ansieht, verletzt sie kein Bundesrecht.</w:t>
      </w:r>
    </w:p>
    <w:p>
      <w:r>
        <w:rPr>
          <w:b/>
        </w:rPr>
        <w:t>E. 2.5</w:t>
      </w:r>
    </w:p>
    <w:p>
      <w:r>
        <w:t>Vor diesem Hintergrund konnte die Vorinstanz in antizipierter Beweiswürdigung (vgl. dazu BGE 144 II 427 E. 3.1.3 ; 141 I 60 E. 3.3; Urteil 6B_285/2019 vom 3. Mai 2019 E. 2.2.4; je mit Hinweisen) auf weitere Beweisabnahmen verzichten. Dies gilt insbesondere für den von der Beschwerdeführerin beantragten Augenschein des Whirlpools sowie für die Befragung verschiedener Personen und die Aktenedition.</w:t>
      </w:r>
    </w:p>
    <w:p>
      <w:r>
        <w:rPr>
          <w:b/>
        </w:rPr>
        <w:t>E. 3.1</w:t>
      </w:r>
    </w:p>
    <w:p>
      <w:r>
        <w:t>Die Beschwerdeführerin rügt, die Vorinstanz verletze Art. 29 Abs. 2 BV . Die Begründung des vorinstanzlichen Beschlusses sei nicht genügend.</w:t>
      </w:r>
    </w:p>
    <w:p>
      <w:r>
        <w:rPr>
          <w:b/>
        </w:rPr>
        <w:t>E. 3.2</w:t>
      </w:r>
    </w:p>
    <w:p>
      <w:r>
        <w:t>Nach konstanter Rechtsprechung hat das Gericht seinen Entscheid zwar zu begründen, doch ist nicht erforderlich, dass es sich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143 III 65 E. 5.2 ; 142 I 135 E. 2.1; je mit Hinweisen).</w:t>
      </w:r>
    </w:p>
    <w:p>
      <w:r>
        <w:rPr>
          <w:b/>
        </w:rPr>
        <w:t>E. 3.3</w:t>
      </w:r>
    </w:p>
    <w:p>
      <w:r>
        <w:t>Die Vorinstanz hat dargelegt, aus welchen Gründen nicht davon auszugehen ist, dass X.________ den Schaden am Whirlpool verursacht hat. Es lässt sich dem angefochtenen Beschluss entgegen den Vorbringen der Beschwerdeführerin entnehmen, dass die Vorinstanz weder davon ausging, dass das Verhalten von X.________ gesamthaft noch das letztmalige Abschalten zur Beschädigung des Whirlpools geführt habe. Im Übrigen hat die Vorinstanz begründet, weswegen sie das Vorliegen von deliktsrelevanten Anhaltspunkten verneint hat (vgl. oben E. 2.3).</w:t>
      </w:r>
    </w:p>
    <w:p>
      <w:r>
        <w:t>Es war der Beschwerdeführerin ohne Weiteres möglich, den Entscheid in Kenntnis von dessen Tragweite an das Bundesgericht weiterzuziehen. Eine Verletzung der Begründungspflicht ist nicht ersichtlich.</w:t>
      </w:r>
    </w:p>
    <w:p>
      <w:r>
        <w:rPr>
          <w:b/>
        </w:rPr>
        <w:t>E. 4</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