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6B_959/2016 vom 6. Juli 2017</w:t>
      </w:r>
    </w:p>
    <w:p>
      <w:r>
        <w:t>Bundesgericht, 2017-07-06, FR</w:t>
      </w:r>
    </w:p>
    <w:p>
      <w:r>
        <w:rPr>
          <w:b/>
        </w:rPr>
        <w:t xml:space="preserve">Quelle: </w:t>
      </w:r>
      <w:r>
        <w:t>https://mcp.opencaselaw.ch/entscheid/bger_6B_959_2016</w:t>
      </w:r>
    </w:p>
    <w:p>
      <w:r>
        <w:t>FR: TF 6B_959/2016 du 6 juillet 2017</w:t>
      </w:r>
    </w:p>
    <w:p>
      <w:r>
        <w:t>IT: TF 6B_959/2016 del 6 luglio 2017</w:t>
      </w:r>
    </w:p>
    <w:p>
      <w:pPr>
        <w:pStyle w:val="Heading2"/>
      </w:pPr>
      <w:r>
        <w:t>Erwägungen</w:t>
      </w:r>
    </w:p>
    <w:p>
      <w:r>
        <w:rPr>
          <w:b/>
        </w:rPr>
        <w:t>E. 1</w:t>
      </w:r>
    </w:p>
    <w:p>
      <w:r>
        <w:t>La recourante conteste les faits retenus par l'autorité précédente.</w:t>
      </w:r>
    </w:p>
    <w:p>
      <w:r>
        <w:rPr>
          <w:b/>
        </w:rPr>
        <w:t>E. 1.1</w:t>
      </w:r>
    </w:p>
    <w:p>
      <w:r>
        <w:t>Le Tribunal fédéral n'est pas une autorité d'appel.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Pour que la décision soit annulée pour arbitraire, il faut qu'elle se révèle arbitraire non seulement dans ses motifs mais aussi dans son résultat ( ATF 141 I 49 consid. 3.4 p. 53).</w:t>
      </w:r>
    </w:p>
    <w:p>
      <w:r>
        <w:rPr>
          <w:b/>
        </w:rPr>
        <w:t>E. 1.2</w:t>
      </w:r>
    </w:p>
    <w:p>
      <w:r>
        <w:t>La recourante critique l'appréciation de l'autorité précédente s'agissant de la vitesse à laquelle circulait le véhicule prioritaire, invoquant une vitesse de 80 km/h, voire plus, tant à proximité que dans le giratoire.</w:t>
      </w:r>
    </w:p>
    <w:p>
      <w:r>
        <w:t>L'autorité précédente n'a pas considéré comme arbitraires les constatations de l'autorité de première instance retenant que le véhicule prioritaire circulait avant de s'engager dans le giratoire à plus de 40 km/h, puis dans le giratoire à 40 km/h. A l'encontre de cette appréciation, la recourante ne présente qu'une argumentation appellatoire, impropre à convaincre qu'une vitesse supérieure aurait dû être retenue tant aux abords du giratoire que dans celui-ci. Son grief est irrecevable.</w:t>
      </w:r>
    </w:p>
    <w:p>
      <w:r>
        <w:rPr>
          <w:b/>
        </w:rPr>
        <w:t>E. 1.3</w:t>
      </w:r>
    </w:p>
    <w:p>
      <w:r>
        <w:t>La recourante conteste avoir eu une bonne visibilité. Son argumentation est ici également appellatoire, fondée en partie sur des éléments qui ne résultent pas du dossier, et partant irrecevable. Au demeurant, plus la visibilité de la recourante était mauvaise, par exemple parce qu'il y aurait eu un bosquet l'empêchant de bien voir, plus elle devait s'assurer qu'aucun véhicule prioritaire n'arrivait. L'argumentation sur la mauvaise visibilité qu'elle tente d'articuler en sa faveur est ainsi sans pertinence.</w:t>
      </w:r>
    </w:p>
    <w:p>
      <w:r>
        <w:rPr>
          <w:b/>
        </w:rPr>
        <w:t>E. 2</w:t>
      </w:r>
    </w:p>
    <w:p>
      <w:r>
        <w:t>La recourante conteste avoir violé l' art. 90 al. 1 LCR , invoquant le principe de la confiance.</w:t>
      </w:r>
    </w:p>
    <w:p>
      <w:r>
        <w:rPr>
          <w:b/>
        </w:rPr>
        <w:t>E. 2.1</w:t>
      </w:r>
    </w:p>
    <w:p>
      <w:r>
        <w:t>Aux termes de cette disposition, celui qui viole les règles de la circulation prévues par la LCR ou par les dispositions d'exécution émanant du Conseil fédéral est puni de l'amende.</w:t>
      </w:r>
    </w:p>
    <w:p>
      <w:r>
        <w:t>En vertu de l'art. 27 al. 1 de l'ordonnance du 13 novembre 1962 sur les règles de la circulation routière (OCR; RS 741.11), chacun se conformera aux signaux et aux marques ainsi qu'aux ordres de la police. Les signaux et les marques priment les règles générales; les ordres de la police ont le pas sur les règles générales, les signaux et les marques. L' art. 41b al. 1 OCR impose quant à lui au conducteur, avant d'entrer dans un carrefour à sens giratoire, de ralentir et d'accorder la priorité aux véhicules qui, sur sa gauche, surviennent dans le giratoire.</w:t>
      </w:r>
    </w:p>
    <w:p>
      <w:r>
        <w:rPr>
          <w:b/>
        </w:rPr>
        <w:t>E. 2.2</w:t>
      </w:r>
    </w:p>
    <w:p>
      <w:r>
        <w:t>Le principe de la confiance est déduit de l' art. 26 al. 1 LCR qui prévoit que chacun doit se comporter, dans la circulation, de manière à ne pas gêner ni mettre en danger ceux qui utilisent la route conformément aux règles établies (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125 IV 83 consid. 2b p. 87; 118 IV 277 consid. 4a p. 280).</w:t>
      </w:r>
    </w:p>
    <w:p>
      <w:r>
        <w:t>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(cf. ATF 120 IV 252 consid. 2d/aa p. 254; arrêt 4A_239/2011 du 22 novembre 2011 consid. 2.4.1 et les références citées). Constitue un comportement imprévisible le fait d'accélérer brusquement pour forcer le passage, le fait de surgir à l'improviste à une vitesse excessive à une croisée à mauvaise visibilité (arrêt 4A_239/2011 du 22 novembre 2011 consid. 2.4.1 et les références citées). Dans l'optique d'une règle de priorité claire, on ne peut toutefois admettre facilement que le débiteur de la priorité n'a pas à compter avec le passage, respectivement l'entrave d'un prioritaire ( ATF 120 IV 252 consid. 2d/aa p. 254; plus récemment arrêt 6B_917/2016 du 9 décembre 2016 consid. 2.5.1).</w:t>
      </w:r>
    </w:p>
    <w:p>
      <w:r>
        <w:rPr>
          <w:b/>
        </w:rPr>
        <w:t>E. 2.3</w:t>
      </w:r>
    </w:p>
    <w:p>
      <w:r>
        <w:t>En l'espèce, la recourante, entrant dans le giratoire, n'a pas accordé la priorité au véhicule qui s'y trouvait déjà, arrivant sur sa gauche. Elle a ainsi clairement entravé la trajectoire de ce véhicule qui bénéficiait de la priorité.</w:t>
      </w:r>
    </w:p>
    <w:p>
      <w:r>
        <w:t>Il reste à examiner s'il peut être considéré que c'est en raison du comportement imprévisible du véhicule prioritaire que l'accident est survenu. Selon les constatations de fait, ce véhicule circulait avant de s'engager dans le giratoire à plus de 40 km/h, puis dans le giratoire à 40 km/h. Il n'avait donc pas adopté de vitesse que l'on pourrait qualifier d'excessive ou d'inadaptée, qui plus est hors localité. Au vu de ce comportement, on ne saurait admettre, sur la base du principe de la confiance, que la recourante n'avait pas à compter avec l'arrivée dans le giratoire de ce véhicule, tel qu'il l'a été. La visibilité dont profitait la recourante, qu'elle ait été bonne ou non, n'était dans ces circonstances pas un élément imprévisible susceptible de la dédouaner de ne pas avoir vu et compté avec l'arrivée du véhicule prioritaire sur la route qu'elle voulait emprunter.</w:t>
      </w:r>
    </w:p>
    <w:p>
      <w:r>
        <w:t>Au vu de ce qui précède, la condamnation de la recourante pour violation des règles de la circulation en vertu de l' art. 90 al. 1 LCR ne prête pas flanc à la critique. Cela exclut le prononcé d'une indemnisation fondée sur l' art. 429 CPP en faveur de la recourante.</w:t>
      </w:r>
    </w:p>
    <w:p>
      <w:r>
        <w:rPr>
          <w:b/>
        </w:rPr>
        <w:t>E. 3</w:t>
      </w:r>
    </w:p>
    <w:p>
      <w:r>
        <w:t>Le recours doit être rejeté dans la mesure de sa recevabilité. Les conclusions étaient vouées à l'échec, l'assistance judiciaire est refusée à la recourante ( art. 64 al. 1 LTF ). Celle-ci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